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SAVING AND PREPARING FOR FUTURE COSTS</w:t>
      </w:r>
    </w:p>
    <w:p>
      <w:pPr>
        <w:pStyle w:val="Title"/>
      </w:pPr>
      <w:r>
        <w:t>Savings Interest and APY</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Savings account recommendation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Compare three fictional savings accounts. Calculate estimated interest, subtract possible fees, and recommend an account based on the saver’s balance and habits.</w:t>
            </w:r>
          </w:p>
        </w:tc>
      </w:tr>
    </w:tbl>
    <w:p>
      <w:pPr>
        <w:spacing w:after="0"/>
      </w:pPr>
    </w:p>
    <w:p>
      <w:pPr>
        <w:pStyle w:val="Heading1"/>
      </w:pPr>
      <w:r>
        <w:t>APY Helps You Compare</w:t>
      </w:r>
    </w:p>
    <w:p>
      <w:r>
        <w:t>A savings account may pay interest. Annual Percentage Yield, or APY, shows the amount an account can earn in one year as a percentage, including the effect of compounding. Fees and account rules can reduce what a saver actually keeps.</w:t>
      </w:r>
    </w:p>
    <w:tbl>
      <w:tblPr>
        <w:tblStyle w:val="TableGrid"/>
        <w:tblW w:type="dxa" w:w="9360"/>
        <w:jc w:val="center"/>
        <w:tblLayout w:type="fixed"/>
        <w:tblLook w:firstColumn="1" w:firstRow="1" w:lastColumn="0" w:lastRow="0" w:noHBand="0" w:noVBand="1" w:val="04A0"/>
        <w:tblInd w:w="120" w:type="dxa"/>
      </w:tblPr>
      <w:tblGrid>
        <w:gridCol w:w="2400"/>
        <w:gridCol w:w="6960"/>
      </w:tblGrid>
      <w:tr>
        <w:trPr>
          <w:tblHeader w:val="true"/>
        </w:trPr>
        <w:tc>
          <w:tcPr>
            <w:tcW w:type="dxa" w:w="2400"/>
            <w:shd w:fill="163A63"/>
            <w:tcMar>
              <w:top w:w="100" w:type="dxa"/>
              <w:start w:w="120" w:type="dxa"/>
              <w:bottom w:w="100" w:type="dxa"/>
              <w:end w:w="120" w:type="dxa"/>
            </w:tcMar>
            <w:vAlign w:val="center"/>
          </w:tcPr>
          <w:p>
            <w:pPr>
              <w:spacing w:after="0"/>
            </w:pPr>
            <w:r>
              <w:rPr>
                <w:rFonts w:ascii="Aptos" w:hAnsi="Aptos"/>
                <w:b/>
                <w:i w:val="0"/>
                <w:color w:val="FFFFFF"/>
                <w:sz w:val="17"/>
              </w:rPr>
              <w:t>Term</w:t>
            </w:r>
          </w:p>
        </w:tc>
        <w:tc>
          <w:tcPr>
            <w:tcW w:type="dxa" w:w="6960"/>
            <w:shd w:fill="163A63"/>
            <w:tcMar>
              <w:top w:w="100" w:type="dxa"/>
              <w:start w:w="120" w:type="dxa"/>
              <w:bottom w:w="100" w:type="dxa"/>
              <w:end w:w="120" w:type="dxa"/>
            </w:tcMar>
            <w:vAlign w:val="center"/>
          </w:tcPr>
          <w:p>
            <w:pPr>
              <w:spacing w:after="0"/>
            </w:pPr>
            <w:r>
              <w:rPr>
                <w:rFonts w:ascii="Aptos" w:hAnsi="Aptos"/>
                <w:b/>
                <w:i w:val="0"/>
                <w:color w:val="FFFFFF"/>
                <w:sz w:val="17"/>
              </w:rPr>
              <w:t>Student-friendly meaning</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Interest</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Money a bank or credit union pays on eligible savings.</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APY</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A yearly percentage used to compare how much deposit accounts may earn.</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Compounding</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Earning interest on the deposit and on interest already added.</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Minimum balance</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The lowest balance needed to receive a benefit or avoid a fee.</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Fee</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Money charged for an account service or rule.</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Net gain</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Interest and bonuses minus fees.</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ESTIMATE RULE  </w:t>
            </w:r>
            <w:r>
              <w:rPr>
                <w:rFonts w:ascii="Aptos" w:hAnsi="Aptos"/>
                <w:b w:val="0"/>
                <w:i w:val="0"/>
                <w:color w:val="1F2933"/>
                <w:sz w:val="20"/>
              </w:rPr>
              <w:t>For this activity, estimated one-year interest = starting balance x APY. Real earnings can differ when balances, rates, deposits, or withdrawals change.</w:t>
            </w:r>
          </w:p>
        </w:tc>
      </w:tr>
    </w:tbl>
    <w:p>
      <w:pPr>
        <w:spacing w:after="0"/>
      </w:pPr>
    </w:p>
    <w:p>
      <w:pPr>
        <w:spacing w:before="0" w:after="0" w:line="20" w:lineRule="exact"/>
      </w:pPr>
      <w:r>
        <w:rPr>
          <w:rFonts w:ascii="Aptos" w:hAnsi="Aptos"/>
          <w:b w:val="0"/>
          <w:i w:val="0"/>
          <w:color w:val="1F2933"/>
          <w:sz w:val="2"/>
        </w:rPr>
        <w:br w:type="page"/>
      </w:r>
    </w:p>
    <w:p>
      <w:pPr>
        <w:pStyle w:val="Heading1"/>
      </w:pPr>
      <w:r>
        <w:t>Part 1 - Compare the Account Terms</w:t>
      </w:r>
    </w:p>
    <w:tbl>
      <w:tblPr>
        <w:tblStyle w:val="TableGrid"/>
        <w:tblW w:type="dxa" w:w="9360"/>
        <w:jc w:val="center"/>
        <w:tblLayout w:type="fixed"/>
        <w:tblLook w:firstColumn="1" w:firstRow="1" w:lastColumn="0" w:lastRow="0" w:noHBand="0" w:noVBand="1" w:val="04A0"/>
        <w:tblInd w:w="120" w:type="dxa"/>
      </w:tblPr>
      <w:tblGrid>
        <w:gridCol w:w="1700"/>
        <w:gridCol w:w="1200"/>
        <w:gridCol w:w="2000"/>
        <w:gridCol w:w="2200"/>
        <w:gridCol w:w="2260"/>
      </w:tblGrid>
      <w:tr>
        <w:trPr>
          <w:tblHeader w:val="true"/>
        </w:trPr>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Account</w:t>
            </w:r>
          </w:p>
        </w:tc>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6"/>
              </w:rPr>
              <w:t>APY</w:t>
            </w:r>
          </w:p>
        </w:tc>
        <w:tc>
          <w:tcPr>
            <w:tcW w:type="dxa" w:w="2000"/>
            <w:shd w:fill="163A63"/>
            <w:tcMar>
              <w:top w:w="100" w:type="dxa"/>
              <w:start w:w="120" w:type="dxa"/>
              <w:bottom w:w="100" w:type="dxa"/>
              <w:end w:w="120" w:type="dxa"/>
            </w:tcMar>
            <w:vAlign w:val="center"/>
          </w:tcPr>
          <w:p>
            <w:pPr>
              <w:spacing w:after="0"/>
            </w:pPr>
            <w:r>
              <w:rPr>
                <w:rFonts w:ascii="Aptos" w:hAnsi="Aptos"/>
                <w:b/>
                <w:i w:val="0"/>
                <w:color w:val="FFFFFF"/>
                <w:sz w:val="16"/>
              </w:rPr>
              <w:t>Balance to avoid fee</w:t>
            </w:r>
          </w:p>
        </w:tc>
        <w:tc>
          <w:tcPr>
            <w:tcW w:type="dxa" w:w="2200"/>
            <w:shd w:fill="163A63"/>
            <w:tcMar>
              <w:top w:w="100" w:type="dxa"/>
              <w:start w:w="120" w:type="dxa"/>
              <w:bottom w:w="100" w:type="dxa"/>
              <w:end w:w="120" w:type="dxa"/>
            </w:tcMar>
            <w:vAlign w:val="center"/>
          </w:tcPr>
          <w:p>
            <w:pPr>
              <w:spacing w:after="0"/>
            </w:pPr>
            <w:r>
              <w:rPr>
                <w:rFonts w:ascii="Aptos" w:hAnsi="Aptos"/>
                <w:b/>
                <w:i w:val="0"/>
                <w:color w:val="FFFFFF"/>
                <w:sz w:val="16"/>
              </w:rPr>
              <w:t>Possible fee</w:t>
            </w:r>
          </w:p>
        </w:tc>
        <w:tc>
          <w:tcPr>
            <w:tcW w:type="dxa" w:w="2260"/>
            <w:shd w:fill="163A63"/>
            <w:tcMar>
              <w:top w:w="100" w:type="dxa"/>
              <w:start w:w="120" w:type="dxa"/>
              <w:bottom w:w="100" w:type="dxa"/>
              <w:end w:w="120" w:type="dxa"/>
            </w:tcMar>
            <w:vAlign w:val="center"/>
          </w:tcPr>
          <w:p>
            <w:pPr>
              <w:spacing w:after="0"/>
            </w:pPr>
            <w:r>
              <w:rPr>
                <w:rFonts w:ascii="Aptos" w:hAnsi="Aptos"/>
                <w:b/>
                <w:i w:val="0"/>
                <w:color w:val="FFFFFF"/>
                <w:sz w:val="16"/>
              </w:rPr>
              <w:t>Bonus or rule</w:t>
            </w:r>
          </w:p>
        </w:tc>
      </w:tr>
      <w:tr>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Account A</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t>4.00%</w:t>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2260"/>
            <w:tcMar>
              <w:top w:w="100" w:type="dxa"/>
              <w:start w:w="120" w:type="dxa"/>
              <w:bottom w:w="100" w:type="dxa"/>
              <w:end w:w="120" w:type="dxa"/>
            </w:tcMar>
            <w:vAlign w:val="center"/>
          </w:tcPr>
          <w:p>
            <w:pPr>
              <w:spacing w:after="0"/>
            </w:pPr>
            <w:r>
              <w:rPr>
                <w:rFonts w:ascii="Aptos" w:hAnsi="Aptos"/>
                <w:b w:val="0"/>
                <w:i w:val="0"/>
                <w:color w:val="1F2933"/>
                <w:sz w:val="16"/>
              </w:rPr>
              <w:t>No bonus</w:t>
            </w:r>
          </w:p>
        </w:tc>
      </w:tr>
      <w:tr>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Account B</w:t>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6"/>
              </w:rPr>
              <w:t>4.25%</w:t>
            </w:r>
          </w:p>
        </w:tc>
        <w:tc>
          <w:tcPr>
            <w:tcW w:type="dxa" w:w="2000"/>
            <w:shd w:fill="F4F6F8"/>
            <w:tcMar>
              <w:top w:w="100" w:type="dxa"/>
              <w:start w:w="120" w:type="dxa"/>
              <w:bottom w:w="100" w:type="dxa"/>
              <w:end w:w="120" w:type="dxa"/>
            </w:tcMar>
            <w:vAlign w:val="center"/>
          </w:tcPr>
          <w:p>
            <w:pPr>
              <w:spacing w:after="0"/>
            </w:pPr>
            <w:r>
              <w:rPr>
                <w:rFonts w:ascii="Aptos" w:hAnsi="Aptos"/>
                <w:b w:val="0"/>
                <w:i w:val="0"/>
                <w:color w:val="1F2933"/>
                <w:sz w:val="16"/>
              </w:rPr>
              <w:t>$500</w:t>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$5 monthly below $500</w:t>
            </w:r>
          </w:p>
        </w:tc>
        <w:tc>
          <w:tcPr>
            <w:tcW w:type="dxa" w:w="2260"/>
            <w:shd w:fill="F4F6F8"/>
            <w:tcMar>
              <w:top w:w="100" w:type="dxa"/>
              <w:start w:w="120" w:type="dxa"/>
              <w:bottom w:w="100" w:type="dxa"/>
              <w:end w:w="120" w:type="dxa"/>
            </w:tcMar>
            <w:vAlign w:val="center"/>
          </w:tcPr>
          <w:p>
            <w:pPr>
              <w:spacing w:after="0"/>
            </w:pPr>
            <w:r>
              <w:rPr>
                <w:rFonts w:ascii="Aptos" w:hAnsi="Aptos"/>
                <w:b w:val="0"/>
                <w:i w:val="0"/>
                <w:color w:val="1F2933"/>
                <w:sz w:val="16"/>
              </w:rPr>
              <w:t>No bonus</w:t>
            </w:r>
          </w:p>
        </w:tc>
      </w:tr>
      <w:tr>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Account C</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t>3.75%</w:t>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2260"/>
            <w:tcMar>
              <w:top w:w="100" w:type="dxa"/>
              <w:start w:w="120" w:type="dxa"/>
              <w:bottom w:w="100" w:type="dxa"/>
              <w:end w:w="120" w:type="dxa"/>
            </w:tcMar>
            <w:vAlign w:val="center"/>
          </w:tcPr>
          <w:p>
            <w:pPr>
              <w:spacing w:after="0"/>
            </w:pPr>
            <w:r>
              <w:rPr>
                <w:rFonts w:ascii="Aptos" w:hAnsi="Aptos"/>
                <w:b w:val="0"/>
                <w:i w:val="0"/>
                <w:color w:val="1F2933"/>
                <w:sz w:val="16"/>
              </w:rPr>
              <w:t>$25 first-year bonus after stated steps</w:t>
            </w:r>
          </w:p>
        </w:tc>
      </w:tr>
    </w:tbl>
    <w:p>
      <w:r>
        <w:t>Underline the highest APY. Circle any rule that could cost money. Put a star beside a feature that happens only once.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Jamie Starts With $400</w:t>
      </w:r>
    </w:p>
    <w:p>
      <w:r>
        <w:t>Jamie deposits $400 and makes no other deposits or withdrawals during the year. Assume each APY and fee stays the same. Jamie completes Account C’s bonus steps.</w:t>
      </w:r>
    </w:p>
    <w:tbl>
      <w:tblPr>
        <w:tblStyle w:val="TableGrid"/>
        <w:tblW w:type="dxa" w:w="9360"/>
        <w:jc w:val="center"/>
        <w:tblLayout w:type="fixed"/>
        <w:tblLook w:firstColumn="1" w:firstRow="1" w:lastColumn="0" w:lastRow="0" w:noHBand="0" w:noVBand="1" w:val="04A0"/>
        <w:tblInd w:w="120" w:type="dxa"/>
      </w:tblPr>
      <w:tblGrid>
        <w:gridCol w:w="1400"/>
        <w:gridCol w:w="1800"/>
        <w:gridCol w:w="1500"/>
        <w:gridCol w:w="1300"/>
        <w:gridCol w:w="1500"/>
        <w:gridCol w:w="1860"/>
      </w:tblGrid>
      <w:tr>
        <w:trPr>
          <w:tblHeader w:val="true"/>
        </w:trPr>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6"/>
              </w:rPr>
              <w:t>Account</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Interest estimate</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Yearly fees</w:t>
            </w:r>
          </w:p>
        </w:tc>
        <w:tc>
          <w:tcPr>
            <w:tcW w:type="dxa" w:w="1300"/>
            <w:shd w:fill="163A63"/>
            <w:tcMar>
              <w:top w:w="100" w:type="dxa"/>
              <w:start w:w="120" w:type="dxa"/>
              <w:bottom w:w="100" w:type="dxa"/>
              <w:end w:w="120" w:type="dxa"/>
            </w:tcMar>
            <w:vAlign w:val="center"/>
          </w:tcPr>
          <w:p>
            <w:pPr>
              <w:spacing w:after="0"/>
            </w:pPr>
            <w:r>
              <w:rPr>
                <w:rFonts w:ascii="Aptos" w:hAnsi="Aptos"/>
                <w:b/>
                <w:i w:val="0"/>
                <w:color w:val="FFFFFF"/>
                <w:sz w:val="16"/>
              </w:rPr>
              <w:t>Bonus</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Net gain</w:t>
            </w:r>
          </w:p>
        </w:tc>
        <w:tc>
          <w:tcPr>
            <w:tcW w:type="dxa" w:w="1860"/>
            <w:shd w:fill="163A63"/>
            <w:tcMar>
              <w:top w:w="100" w:type="dxa"/>
              <w:start w:w="120" w:type="dxa"/>
              <w:bottom w:w="100" w:type="dxa"/>
              <w:end w:w="120" w:type="dxa"/>
            </w:tcMar>
            <w:vAlign w:val="center"/>
          </w:tcPr>
          <w:p>
            <w:pPr>
              <w:spacing w:after="0"/>
            </w:pPr>
            <w:r>
              <w:rPr>
                <w:rFonts w:ascii="Aptos" w:hAnsi="Aptos"/>
                <w:b/>
                <w:i w:val="0"/>
                <w:color w:val="FFFFFF"/>
                <w:sz w:val="16"/>
              </w:rPr>
              <w:t>Ending balance</w:t>
            </w:r>
          </w:p>
        </w:tc>
      </w:tr>
      <w:tr>
        <w:tc>
          <w:tcPr>
            <w:tcW w:type="dxa" w:w="1400"/>
            <w:tcMar>
              <w:top w:w="100" w:type="dxa"/>
              <w:start w:w="120" w:type="dxa"/>
              <w:bottom w:w="100" w:type="dxa"/>
              <w:end w:w="120" w:type="dxa"/>
            </w:tcMar>
            <w:vAlign w:val="center"/>
          </w:tcPr>
          <w:p>
            <w:pPr>
              <w:spacing w:after="0"/>
            </w:pPr>
            <w:r>
              <w:rPr>
                <w:rFonts w:ascii="Aptos" w:hAnsi="Aptos"/>
                <w:b w:val="0"/>
                <w:i w:val="0"/>
                <w:color w:val="1F2933"/>
                <w:sz w:val="16"/>
              </w:rPr>
              <w:t>A</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t>B</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400"/>
            <w:tcMar>
              <w:top w:w="100" w:type="dxa"/>
              <w:start w:w="120" w:type="dxa"/>
              <w:bottom w:w="100" w:type="dxa"/>
              <w:end w:w="120" w:type="dxa"/>
            </w:tcMar>
            <w:vAlign w:val="center"/>
          </w:tcPr>
          <w:p>
            <w:pPr>
              <w:spacing w:after="0"/>
            </w:pPr>
            <w:r>
              <w:rPr>
                <w:rFonts w:ascii="Aptos" w:hAnsi="Aptos"/>
                <w:b w:val="0"/>
                <w:i w:val="0"/>
                <w:color w:val="1F2933"/>
                <w:sz w:val="16"/>
              </w:rPr>
              <w:t>C</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bl>
    <w:p>
      <w:r>
        <w:t>Show all three interest calculations. Convert each APY to a decimal before multiplying.</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r>
        <w:t>Which account gives Jamie the highest first-year net gain? Which feature creates that result?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Morgan Starts With $1,200</w:t>
      </w:r>
    </w:p>
    <w:p>
      <w:r>
        <w:t>Morgan deposits $1,200. This balance avoids Account B’s fee. Morgan also completes Account C’s bonus steps.</w:t>
      </w:r>
    </w:p>
    <w:tbl>
      <w:tblPr>
        <w:tblStyle w:val="TableGrid"/>
        <w:tblW w:type="dxa" w:w="9360"/>
        <w:jc w:val="center"/>
        <w:tblLayout w:type="fixed"/>
        <w:tblLook w:firstColumn="1" w:firstRow="1" w:lastColumn="0" w:lastRow="0" w:noHBand="0" w:noVBand="1" w:val="04A0"/>
        <w:tblInd w:w="120" w:type="dxa"/>
      </w:tblPr>
      <w:tblGrid>
        <w:gridCol w:w="1400"/>
        <w:gridCol w:w="1800"/>
        <w:gridCol w:w="1500"/>
        <w:gridCol w:w="1300"/>
        <w:gridCol w:w="1800"/>
        <w:gridCol w:w="1560"/>
      </w:tblGrid>
      <w:tr>
        <w:trPr>
          <w:tblHeader w:val="true"/>
        </w:trPr>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6"/>
              </w:rPr>
              <w:t>Account</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Interest estimate</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Yearly fees</w:t>
            </w:r>
          </w:p>
        </w:tc>
        <w:tc>
          <w:tcPr>
            <w:tcW w:type="dxa" w:w="1300"/>
            <w:shd w:fill="163A63"/>
            <w:tcMar>
              <w:top w:w="100" w:type="dxa"/>
              <w:start w:w="120" w:type="dxa"/>
              <w:bottom w:w="100" w:type="dxa"/>
              <w:end w:w="120" w:type="dxa"/>
            </w:tcMar>
            <w:vAlign w:val="center"/>
          </w:tcPr>
          <w:p>
            <w:pPr>
              <w:spacing w:after="0"/>
            </w:pPr>
            <w:r>
              <w:rPr>
                <w:rFonts w:ascii="Aptos" w:hAnsi="Aptos"/>
                <w:b/>
                <w:i w:val="0"/>
                <w:color w:val="FFFFFF"/>
                <w:sz w:val="16"/>
              </w:rPr>
              <w:t>Bonus</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First-year net gain</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Net gain after bonus year</w:t>
            </w:r>
          </w:p>
        </w:tc>
      </w:tr>
      <w:tr>
        <w:tc>
          <w:tcPr>
            <w:tcW w:type="dxa" w:w="1400"/>
            <w:tcMar>
              <w:top w:w="100" w:type="dxa"/>
              <w:start w:w="120" w:type="dxa"/>
              <w:bottom w:w="100" w:type="dxa"/>
              <w:end w:w="120" w:type="dxa"/>
            </w:tcMar>
            <w:vAlign w:val="center"/>
          </w:tcPr>
          <w:p>
            <w:pPr>
              <w:spacing w:after="0"/>
            </w:pPr>
            <w:r>
              <w:rPr>
                <w:rFonts w:ascii="Aptos" w:hAnsi="Aptos"/>
                <w:b w:val="0"/>
                <w:i w:val="0"/>
                <w:color w:val="1F2933"/>
                <w:sz w:val="16"/>
              </w:rPr>
              <w:t>A</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t>B</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400"/>
            <w:tcMar>
              <w:top w:w="100" w:type="dxa"/>
              <w:start w:w="120" w:type="dxa"/>
              <w:bottom w:w="100" w:type="dxa"/>
              <w:end w:w="120" w:type="dxa"/>
            </w:tcMar>
            <w:vAlign w:val="center"/>
          </w:tcPr>
          <w:p>
            <w:pPr>
              <w:spacing w:after="0"/>
            </w:pPr>
            <w:r>
              <w:rPr>
                <w:rFonts w:ascii="Aptos" w:hAnsi="Aptos"/>
                <w:b w:val="0"/>
                <w:i w:val="0"/>
                <w:color w:val="1F2933"/>
                <w:sz w:val="16"/>
              </w:rPr>
              <w:t>C</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r>
    </w:tbl>
    <w:p>
      <w:r>
        <w:t>Which account wins in the first year? Which may earn more after the one-time bonus is gone? Explain using dollars, not only APY.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Test Changing Balances</w:t>
      </w:r>
    </w:p>
    <w:p>
      <w:r>
        <w:t>For each situation, decide which account feature matters most. Do not calculate more than the facts allow.</w:t>
      </w:r>
    </w:p>
    <w:tbl>
      <w:tblPr>
        <w:tblStyle w:val="TableGrid"/>
        <w:tblW w:type="dxa" w:w="9360"/>
        <w:jc w:val="center"/>
        <w:tblLayout w:type="fixed"/>
        <w:tblLook w:firstColumn="1" w:firstRow="1" w:lastColumn="0" w:lastRow="0" w:noHBand="0" w:noVBand="1" w:val="04A0"/>
        <w:tblInd w:w="120" w:type="dxa"/>
      </w:tblPr>
      <w:tblGrid>
        <w:gridCol w:w="3500"/>
        <w:gridCol w:w="2100"/>
        <w:gridCol w:w="1900"/>
        <w:gridCol w:w="1860"/>
      </w:tblGrid>
      <w:tr>
        <w:trPr>
          <w:tblHeader w:val="true"/>
        </w:trPr>
        <w:tc>
          <w:tcPr>
            <w:tcW w:type="dxa" w:w="3500"/>
            <w:shd w:fill="163A63"/>
            <w:tcMar>
              <w:top w:w="100" w:type="dxa"/>
              <w:start w:w="120" w:type="dxa"/>
              <w:bottom w:w="100" w:type="dxa"/>
              <w:end w:w="120" w:type="dxa"/>
            </w:tcMar>
            <w:vAlign w:val="center"/>
          </w:tcPr>
          <w:p>
            <w:pPr>
              <w:spacing w:after="0"/>
            </w:pPr>
            <w:r>
              <w:rPr>
                <w:rFonts w:ascii="Aptos" w:hAnsi="Aptos"/>
                <w:b/>
                <w:i w:val="0"/>
                <w:color w:val="FFFFFF"/>
                <w:sz w:val="16"/>
              </w:rPr>
              <w:t>Situation</w:t>
            </w:r>
          </w:p>
        </w:tc>
        <w:tc>
          <w:tcPr>
            <w:tcW w:type="dxa" w:w="2100"/>
            <w:shd w:fill="163A63"/>
            <w:tcMar>
              <w:top w:w="100" w:type="dxa"/>
              <w:start w:w="120" w:type="dxa"/>
              <w:bottom w:w="100" w:type="dxa"/>
              <w:end w:w="120" w:type="dxa"/>
            </w:tcMar>
            <w:vAlign w:val="center"/>
          </w:tcPr>
          <w:p>
            <w:pPr>
              <w:spacing w:after="0"/>
            </w:pPr>
            <w:r>
              <w:rPr>
                <w:rFonts w:ascii="Aptos" w:hAnsi="Aptos"/>
                <w:b/>
                <w:i w:val="0"/>
                <w:color w:val="FFFFFF"/>
                <w:sz w:val="16"/>
              </w:rPr>
              <w:t>Most important feature</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Likely effect</w:t>
            </w:r>
          </w:p>
        </w:tc>
        <w:tc>
          <w:tcPr>
            <w:tcW w:type="dxa" w:w="1860"/>
            <w:shd w:fill="163A63"/>
            <w:tcMar>
              <w:top w:w="100" w:type="dxa"/>
              <w:start w:w="120" w:type="dxa"/>
              <w:bottom w:w="100" w:type="dxa"/>
              <w:end w:w="120" w:type="dxa"/>
            </w:tcMar>
            <w:vAlign w:val="center"/>
          </w:tcPr>
          <w:p>
            <w:pPr>
              <w:spacing w:after="0"/>
            </w:pPr>
            <w:r>
              <w:rPr>
                <w:rFonts w:ascii="Aptos" w:hAnsi="Aptos"/>
                <w:b/>
                <w:i w:val="0"/>
                <w:color w:val="FFFFFF"/>
                <w:sz w:val="16"/>
              </w:rPr>
              <w:t>Information still needed</w:t>
            </w:r>
          </w:p>
        </w:tc>
      </w:tr>
      <w:tr>
        <w:tc>
          <w:tcPr>
            <w:tcW w:type="dxa" w:w="3500"/>
            <w:tcMar>
              <w:top w:w="100" w:type="dxa"/>
              <w:start w:w="120" w:type="dxa"/>
              <w:bottom w:w="100" w:type="dxa"/>
              <w:end w:w="120" w:type="dxa"/>
            </w:tcMar>
            <w:vAlign w:val="center"/>
          </w:tcPr>
          <w:p>
            <w:pPr>
              <w:spacing w:after="0"/>
            </w:pPr>
            <w:r>
              <w:rPr>
                <w:rFonts w:ascii="Aptos" w:hAnsi="Aptos"/>
                <w:b w:val="0"/>
                <w:i w:val="0"/>
                <w:color w:val="1F2933"/>
                <w:sz w:val="16"/>
              </w:rPr>
              <w:t>Balance drops below $500 for four months</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shd w:fill="F4F6F8"/>
            <w:tcMar>
              <w:top w:w="100" w:type="dxa"/>
              <w:start w:w="120" w:type="dxa"/>
              <w:bottom w:w="100" w:type="dxa"/>
              <w:end w:w="120" w:type="dxa"/>
            </w:tcMar>
            <w:vAlign w:val="center"/>
          </w:tcPr>
          <w:p>
            <w:pPr>
              <w:spacing w:after="0"/>
            </w:pPr>
            <w:r>
              <w:rPr>
                <w:rFonts w:ascii="Aptos" w:hAnsi="Aptos"/>
                <w:b w:val="0"/>
                <w:i w:val="0"/>
                <w:color w:val="1F2933"/>
                <w:sz w:val="16"/>
              </w:rPr>
              <w:t>Saver needs quick access for an emergency</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tcMar>
              <w:top w:w="100" w:type="dxa"/>
              <w:start w:w="120" w:type="dxa"/>
              <w:bottom w:w="100" w:type="dxa"/>
              <w:end w:w="120" w:type="dxa"/>
            </w:tcMar>
            <w:vAlign w:val="center"/>
          </w:tcPr>
          <w:p>
            <w:pPr>
              <w:spacing w:after="0"/>
            </w:pPr>
            <w:r>
              <w:rPr>
                <w:rFonts w:ascii="Aptos" w:hAnsi="Aptos"/>
                <w:b w:val="0"/>
                <w:i w:val="0"/>
                <w:color w:val="1F2933"/>
                <w:sz w:val="16"/>
              </w:rPr>
              <w:t>APY changes during the year</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shd w:fill="F4F6F8"/>
            <w:tcMar>
              <w:top w:w="100" w:type="dxa"/>
              <w:start w:w="120" w:type="dxa"/>
              <w:bottom w:w="100" w:type="dxa"/>
              <w:end w:w="120" w:type="dxa"/>
            </w:tcMar>
            <w:vAlign w:val="center"/>
          </w:tcPr>
          <w:p>
            <w:pPr>
              <w:spacing w:after="0"/>
            </w:pPr>
            <w:r>
              <w:rPr>
                <w:rFonts w:ascii="Aptos" w:hAnsi="Aptos"/>
                <w:b w:val="0"/>
                <w:i w:val="0"/>
                <w:color w:val="1F2933"/>
                <w:sz w:val="16"/>
              </w:rPr>
              <w:t>Bonus requires direct deposit</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tcMar>
              <w:top w:w="100" w:type="dxa"/>
              <w:start w:w="120" w:type="dxa"/>
              <w:bottom w:w="100" w:type="dxa"/>
              <w:end w:w="120" w:type="dxa"/>
            </w:tcMar>
            <w:vAlign w:val="center"/>
          </w:tcPr>
          <w:p>
            <w:pPr>
              <w:spacing w:after="0"/>
            </w:pPr>
            <w:r>
              <w:rPr>
                <w:rFonts w:ascii="Aptos" w:hAnsi="Aptos"/>
                <w:b w:val="0"/>
                <w:i w:val="0"/>
                <w:color w:val="1F2933"/>
                <w:sz w:val="16"/>
              </w:rPr>
              <w:t>Saver adds $50 every month</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shd w:fill="F4F6F8"/>
            <w:tcMar>
              <w:top w:w="100" w:type="dxa"/>
              <w:start w:w="120" w:type="dxa"/>
              <w:bottom w:w="100" w:type="dxa"/>
              <w:end w:w="120" w:type="dxa"/>
            </w:tcMar>
            <w:vAlign w:val="center"/>
          </w:tcPr>
          <w:p>
            <w:pPr>
              <w:spacing w:after="0"/>
            </w:pPr>
            <w:r>
              <w:rPr>
                <w:rFonts w:ascii="Aptos" w:hAnsi="Aptos"/>
                <w:b w:val="0"/>
                <w:i w:val="0"/>
                <w:color w:val="1F2933"/>
                <w:sz w:val="16"/>
              </w:rPr>
              <w:t>Account has a withdrawal limit or fee</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why the account with the highest advertised APY is not always the best account for every saver.</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Make a Savings Account Recommendation</w:t>
      </w:r>
    </w:p>
    <w:tbl>
      <w:tblPr>
        <w:tblStyle w:val="TableGrid"/>
        <w:tblW w:type="dxa" w:w="9360"/>
        <w:jc w:val="center"/>
        <w:tblLayout w:type="fixed"/>
        <w:tblLook w:firstColumn="1" w:firstRow="1" w:lastColumn="0" w:lastRow="0" w:noHBand="0" w:noVBand="1" w:val="04A0"/>
        <w:tblInd w:w="120" w:type="dxa"/>
      </w:tblPr>
      <w:tblGrid>
        <w:gridCol w:w="3900"/>
        <w:gridCol w:w="5460"/>
      </w:tblGrid>
      <w:tr>
        <w:trPr>
          <w:tblHeader w:val="true"/>
        </w:trPr>
        <w:tc>
          <w:tcPr>
            <w:tcW w:type="dxa" w:w="3900"/>
            <w:shd w:fill="163A63"/>
            <w:tcMar>
              <w:top w:w="100" w:type="dxa"/>
              <w:start w:w="120" w:type="dxa"/>
              <w:bottom w:w="100" w:type="dxa"/>
              <w:end w:w="120" w:type="dxa"/>
            </w:tcMar>
            <w:vAlign w:val="center"/>
          </w:tcPr>
          <w:p>
            <w:pPr>
              <w:spacing w:after="0"/>
            </w:pPr>
            <w:r>
              <w:rPr>
                <w:rFonts w:ascii="Aptos" w:hAnsi="Aptos"/>
                <w:b/>
                <w:i w:val="0"/>
                <w:color w:val="FFFFFF"/>
                <w:sz w:val="17"/>
              </w:rPr>
              <w:t>Decision check</w:t>
            </w:r>
          </w:p>
        </w:tc>
        <w:tc>
          <w:tcPr>
            <w:tcW w:type="dxa" w:w="5460"/>
            <w:shd w:fill="163A63"/>
            <w:tcMar>
              <w:top w:w="100" w:type="dxa"/>
              <w:start w:w="120" w:type="dxa"/>
              <w:bottom w:w="100" w:type="dxa"/>
              <w:end w:w="120" w:type="dxa"/>
            </w:tcMar>
            <w:vAlign w:val="center"/>
          </w:tcPr>
          <w:p>
            <w:pPr>
              <w:spacing w:after="0"/>
            </w:pPr>
            <w:r>
              <w:rPr>
                <w:rFonts w:ascii="Aptos" w:hAnsi="Aptos"/>
                <w:b/>
                <w:i w:val="0"/>
                <w:color w:val="FFFFFF"/>
                <w:sz w:val="17"/>
              </w:rPr>
              <w:t>Evidence</w:t>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Starting balance</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Expected monthly deposits</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Need for quick access</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APY</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Fees</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Minimum-balance rule</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Bonus requirements</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Deposit insurance status to verify</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Best account and reason</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bl>
    <w:p>
      <w:r>
        <w:t>Write a 150-200 word recommendation for Jamie or Morgan. Include two calculations, one fee or balance rule, one limitation of your estimate, and one fact the saver should verify before opening the account.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