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INVESTING FUNDAMENTALS</w:t>
      </w:r>
    </w:p>
    <w:p>
      <w:pPr>
        <w:pStyle w:val="Title"/>
      </w:pPr>
      <w:r>
        <w:t>Risk, Return, and Time Horizon</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Investment goal recommendation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Compare possible gains and losses, connect a goal to its time horizon, and explain why a higher possible return usually comes with more uncertainty.</w:t>
            </w:r>
          </w:p>
        </w:tc>
      </w:tr>
    </w:tbl>
    <w:p>
      <w:pPr>
        <w:spacing w:after="0"/>
      </w:pPr>
    </w:p>
    <w:p>
      <w:pPr>
        <w:pStyle w:val="Heading1"/>
      </w:pPr>
      <w:r>
        <w:t>Risk and Return Work Together</w:t>
      </w:r>
    </w:p>
    <w:p>
      <w:r>
        <w:t>Return is the gain or loss on money invested. Risk is uncertainty about the result, including the chance of losing money. Investments with more growth potential often have larger price changes. No investment return is guaranteed.</w:t>
      </w:r>
    </w:p>
    <w:tbl>
      <w:tblPr>
        <w:tblStyle w:val="TableGrid"/>
        <w:tblW w:type="dxa" w:w="9360"/>
        <w:jc w:val="center"/>
        <w:tblLayout w:type="fixed"/>
        <w:tblLook w:firstColumn="1" w:firstRow="1" w:lastColumn="0" w:lastRow="0" w:noHBand="0" w:noVBand="1" w:val="04A0"/>
        <w:tblInd w:w="120" w:type="dxa"/>
      </w:tblPr>
      <w:tblGrid>
        <w:gridCol w:w="2400"/>
        <w:gridCol w:w="6960"/>
      </w:tblGrid>
      <w:tr>
        <w:trPr>
          <w:tblHeader w:val="true"/>
        </w:trPr>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9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Return</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The gain or loss on an investment.</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Risk</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Uncertainty about the result and the chance of loss.</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Time horizon</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How long until the money is needed.</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Risk tolerance</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How much loss or price movement a person can accept.</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Liquidity</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How easily an investment can be turned into cash.</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Total return</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Change in value plus income received.</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IMPORTANT  </w:t>
            </w:r>
            <w:r>
              <w:rPr>
                <w:rFonts w:ascii="Aptos" w:hAnsi="Aptos"/>
                <w:b w:val="0"/>
                <w:i w:val="0"/>
                <w:color w:val="1F2933"/>
                <w:sz w:val="20"/>
              </w:rPr>
              <w:t>This activity uses fictional investments and simplified annual results. It teaches a decision process; it does not recommend a real investment.</w:t>
            </w:r>
          </w:p>
        </w:tc>
      </w:tr>
    </w:tbl>
    <w:p>
      <w:pPr>
        <w:spacing w:after="0"/>
      </w:pPr>
    </w:p>
    <w:p>
      <w:pPr>
        <w:spacing w:before="0" w:after="0" w:line="20" w:lineRule="exact"/>
      </w:pPr>
      <w:r>
        <w:rPr>
          <w:rFonts w:ascii="Aptos" w:hAnsi="Aptos"/>
          <w:b w:val="0"/>
          <w:i w:val="0"/>
          <w:color w:val="1F2933"/>
          <w:sz w:val="2"/>
        </w:rPr>
        <w:br w:type="page"/>
      </w:r>
    </w:p>
    <w:p>
      <w:pPr>
        <w:pStyle w:val="Heading1"/>
      </w:pPr>
      <w:r>
        <w:t>Part 1 - Calculate Three Returns</w:t>
      </w:r>
    </w:p>
    <w:tbl>
      <w:tblPr>
        <w:tblStyle w:val="TableGrid"/>
        <w:tblW w:type="dxa" w:w="9360"/>
        <w:jc w:val="center"/>
        <w:tblLayout w:type="fixed"/>
        <w:tblLook w:firstColumn="1" w:firstRow="1" w:lastColumn="0" w:lastRow="0" w:noHBand="0" w:noVBand="1" w:val="04A0"/>
        <w:tblInd w:w="120" w:type="dxa"/>
      </w:tblPr>
      <w:tblGrid>
        <w:gridCol w:w="1800"/>
        <w:gridCol w:w="1500"/>
        <w:gridCol w:w="1500"/>
        <w:gridCol w:w="1200"/>
        <w:gridCol w:w="1500"/>
        <w:gridCol w:w="1860"/>
      </w:tblGrid>
      <w:tr>
        <w:trPr>
          <w:tblHeader w:val="true"/>
        </w:trPr>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Starting value</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Ending value</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6"/>
              </w:rPr>
              <w:t>Income</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Total gain</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6"/>
              </w:rPr>
              <w:t>Percent return</w:t>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Cash option</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$1,025</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Bond fund</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$1,040</w:t>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t>$30</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Stock index fund</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$1,090</w:t>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t>$15</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bl>
    <w:p>
      <w:r>
        <w:t>Use: total gain = ending value - starting value + income. Percent return = total gain / starting value x 100. Show each calculation.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Test a Difficult Year</w:t>
      </w:r>
    </w:p>
    <w:tbl>
      <w:tblPr>
        <w:tblStyle w:val="TableGrid"/>
        <w:tblW w:type="dxa" w:w="9360"/>
        <w:jc w:val="center"/>
        <w:tblLayout w:type="fixed"/>
        <w:tblLook w:firstColumn="1" w:firstRow="1" w:lastColumn="0" w:lastRow="0" w:noHBand="0" w:noVBand="1" w:val="04A0"/>
        <w:tblInd w:w="120" w:type="dxa"/>
      </w:tblPr>
      <w:tblGrid>
        <w:gridCol w:w="2100"/>
        <w:gridCol w:w="1700"/>
        <w:gridCol w:w="1700"/>
        <w:gridCol w:w="1900"/>
        <w:gridCol w:w="1960"/>
      </w:tblGrid>
      <w:tr>
        <w:trPr>
          <w:tblHeader w:val="true"/>
        </w:trPr>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Starting value</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One-year result</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Dollar gain or loss</w:t>
            </w:r>
          </w:p>
        </w:tc>
        <w:tc>
          <w:tcPr>
            <w:tcW w:type="dxa" w:w="1960"/>
            <w:shd w:fill="163A63"/>
            <w:tcMar>
              <w:top w:w="100" w:type="dxa"/>
              <w:start w:w="120" w:type="dxa"/>
              <w:bottom w:w="100" w:type="dxa"/>
              <w:end w:w="120" w:type="dxa"/>
            </w:tcMar>
            <w:vAlign w:val="center"/>
          </w:tcPr>
          <w:p>
            <w:pPr>
              <w:spacing w:after="0"/>
            </w:pPr>
            <w:r>
              <w:rPr>
                <w:rFonts w:ascii="Aptos" w:hAnsi="Aptos"/>
                <w:b/>
                <w:i w:val="0"/>
                <w:color w:val="FFFFFF"/>
                <w:sz w:val="16"/>
              </w:rPr>
              <w:t>Ending value</w:t>
            </w:r>
          </w:p>
        </w:tc>
      </w:tr>
      <w:tr>
        <w:tc>
          <w:tcPr>
            <w:tcW w:type="dxa" w:w="2100"/>
            <w:tcMar>
              <w:top w:w="100" w:type="dxa"/>
              <w:start w:w="120" w:type="dxa"/>
              <w:bottom w:w="100" w:type="dxa"/>
              <w:end w:w="120" w:type="dxa"/>
            </w:tcMar>
            <w:vAlign w:val="center"/>
          </w:tcPr>
          <w:p>
            <w:pPr>
              <w:spacing w:after="0"/>
            </w:pPr>
            <w:r>
              <w:rPr>
                <w:rFonts w:ascii="Aptos" w:hAnsi="Aptos"/>
                <w:b w:val="0"/>
                <w:i w:val="0"/>
                <w:color w:val="1F2933"/>
                <w:sz w:val="16"/>
              </w:rPr>
              <w:t>Cash option</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t>Bond fund</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100"/>
            <w:tcMar>
              <w:top w:w="100" w:type="dxa"/>
              <w:start w:w="120" w:type="dxa"/>
              <w:bottom w:w="100" w:type="dxa"/>
              <w:end w:w="120" w:type="dxa"/>
            </w:tcMar>
            <w:vAlign w:val="center"/>
          </w:tcPr>
          <w:p>
            <w:pPr>
              <w:spacing w:after="0"/>
            </w:pPr>
            <w:r>
              <w:rPr>
                <w:rFonts w:ascii="Aptos" w:hAnsi="Aptos"/>
                <w:b w:val="0"/>
                <w:i w:val="0"/>
                <w:color w:val="1F2933"/>
                <w:sz w:val="16"/>
              </w:rPr>
              <w:t>Stock index fund</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$1,000</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option changes the least? Which loses the most? Explain why the best result in Part 1 does not prove that the same option will lead every year.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Match Goals and Time Horizons</w:t>
      </w:r>
    </w:p>
    <w:tbl>
      <w:tblPr>
        <w:tblStyle w:val="TableGrid"/>
        <w:tblW w:type="dxa" w:w="9360"/>
        <w:jc w:val="center"/>
        <w:tblLayout w:type="fixed"/>
        <w:tblLook w:firstColumn="1" w:firstRow="1" w:lastColumn="0" w:lastRow="0" w:noHBand="0" w:noVBand="1" w:val="04A0"/>
        <w:tblInd w:w="120" w:type="dxa"/>
      </w:tblPr>
      <w:tblGrid>
        <w:gridCol w:w="1900"/>
        <w:gridCol w:w="1500"/>
        <w:gridCol w:w="1500"/>
        <w:gridCol w:w="2800"/>
        <w:gridCol w:w="1660"/>
      </w:tblGrid>
      <w:tr>
        <w:trPr>
          <w:tblHeader w:val="true"/>
        </w:trPr>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Goal</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Amount</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Time horizon</w:t>
            </w:r>
          </w:p>
        </w:tc>
        <w:tc>
          <w:tcPr>
            <w:tcW w:type="dxa" w:w="2800"/>
            <w:shd w:fill="163A63"/>
            <w:tcMar>
              <w:top w:w="100" w:type="dxa"/>
              <w:start w:w="120" w:type="dxa"/>
              <w:bottom w:w="100" w:type="dxa"/>
              <w:end w:w="120" w:type="dxa"/>
            </w:tcMar>
            <w:vAlign w:val="center"/>
          </w:tcPr>
          <w:p>
            <w:pPr>
              <w:spacing w:after="0"/>
            </w:pPr>
            <w:r>
              <w:rPr>
                <w:rFonts w:ascii="Aptos" w:hAnsi="Aptos"/>
                <w:b/>
                <w:i w:val="0"/>
                <w:color w:val="FFFFFF"/>
                <w:sz w:val="16"/>
              </w:rPr>
              <w:t>Important fact</w:t>
            </w:r>
          </w:p>
        </w:tc>
        <w:tc>
          <w:tcPr>
            <w:tcW w:type="dxa" w:w="1660"/>
            <w:shd w:fill="163A63"/>
            <w:tcMar>
              <w:top w:w="100" w:type="dxa"/>
              <w:start w:w="120" w:type="dxa"/>
              <w:bottom w:w="100" w:type="dxa"/>
              <w:end w:w="120" w:type="dxa"/>
            </w:tcMar>
            <w:vAlign w:val="center"/>
          </w:tcPr>
          <w:p>
            <w:pPr>
              <w:spacing w:after="0"/>
            </w:pPr>
            <w:r>
              <w:rPr>
                <w:rFonts w:ascii="Aptos" w:hAnsi="Aptos"/>
                <w:b/>
                <w:i w:val="0"/>
                <w:color w:val="FFFFFF"/>
                <w:sz w:val="16"/>
              </w:rPr>
              <w:t>Risk concern</w:t>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Replace a laptop</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$900</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12 months</w:t>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Money must be ready on time.</w:t>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t>Career training</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$4,000</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5 years</w:t>
            </w:r>
          </w:p>
        </w:tc>
        <w:tc>
          <w:tcPr>
            <w:tcW w:type="dxa" w:w="2800"/>
            <w:shd w:fill="F4F6F8"/>
            <w:tcMar>
              <w:top w:w="100" w:type="dxa"/>
              <w:start w:w="120" w:type="dxa"/>
              <w:bottom w:w="100" w:type="dxa"/>
              <w:end w:w="120" w:type="dxa"/>
            </w:tcMar>
            <w:vAlign w:val="center"/>
          </w:tcPr>
          <w:p>
            <w:pPr>
              <w:spacing w:after="0"/>
            </w:pPr>
            <w:r>
              <w:rPr>
                <w:rFonts w:ascii="Aptos" w:hAnsi="Aptos"/>
                <w:b w:val="0"/>
                <w:i w:val="0"/>
                <w:color w:val="1F2933"/>
                <w:sz w:val="16"/>
              </w:rPr>
              <w:t>Some flexibility, but the date matters.</w:t>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900"/>
            <w:tcMar>
              <w:top w:w="100" w:type="dxa"/>
              <w:start w:w="120" w:type="dxa"/>
              <w:bottom w:w="100" w:type="dxa"/>
              <w:end w:w="120" w:type="dxa"/>
            </w:tcMar>
            <w:vAlign w:val="center"/>
          </w:tcPr>
          <w:p>
            <w:pPr>
              <w:spacing w:after="0"/>
            </w:pPr>
            <w:r>
              <w:rPr>
                <w:rFonts w:ascii="Aptos" w:hAnsi="Aptos"/>
                <w:b w:val="0"/>
                <w:i w:val="0"/>
                <w:color w:val="1F2933"/>
                <w:sz w:val="16"/>
              </w:rPr>
              <w:t>Retirement</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Long-term goal</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40 years</w:t>
            </w:r>
          </w:p>
        </w:tc>
        <w:tc>
          <w:tcPr>
            <w:tcW w:type="dxa" w:w="2800"/>
            <w:tcMar>
              <w:top w:w="100" w:type="dxa"/>
              <w:start w:w="120" w:type="dxa"/>
              <w:bottom w:w="100" w:type="dxa"/>
              <w:end w:w="120" w:type="dxa"/>
            </w:tcMar>
            <w:vAlign w:val="center"/>
          </w:tcPr>
          <w:p>
            <w:pPr>
              <w:spacing w:after="0"/>
            </w:pPr>
            <w:r>
              <w:rPr>
                <w:rFonts w:ascii="Aptos" w:hAnsi="Aptos"/>
                <w:b w:val="0"/>
                <w:i w:val="0"/>
                <w:color w:val="1F2933"/>
                <w:sz w:val="16"/>
              </w:rPr>
              <w:t>Many years before withdrawals begin.</w:t>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bl>
    <w:p>
      <w:r>
        <w:t>For each goal, decide whether protecting the money, balancing growth and stability, or seeking long-term growth should receive the most attention. Explain without naming a specific product.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Read Three Investor Profiles</w:t>
      </w:r>
    </w:p>
    <w:tbl>
      <w:tblPr>
        <w:tblStyle w:val="TableGrid"/>
        <w:tblW w:type="dxa" w:w="9360"/>
        <w:jc w:val="center"/>
        <w:tblLayout w:type="fixed"/>
        <w:tblLook w:firstColumn="1" w:firstRow="1" w:lastColumn="0" w:lastRow="0" w:noHBand="0" w:noVBand="1" w:val="04A0"/>
        <w:tblInd w:w="120" w:type="dxa"/>
      </w:tblPr>
      <w:tblGrid>
        <w:gridCol w:w="1500"/>
        <w:gridCol w:w="3500"/>
        <w:gridCol w:w="1500"/>
        <w:gridCol w:w="1700"/>
        <w:gridCol w:w="1160"/>
      </w:tblGrid>
      <w:tr>
        <w:trPr>
          <w:tblHeader w:val="true"/>
        </w:trPr>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Investor</w:t>
            </w:r>
          </w:p>
        </w:tc>
        <w:tc>
          <w:tcPr>
            <w:tcW w:type="dxa" w:w="3500"/>
            <w:shd w:fill="163A63"/>
            <w:tcMar>
              <w:top w:w="100" w:type="dxa"/>
              <w:start w:w="120" w:type="dxa"/>
              <w:bottom w:w="100" w:type="dxa"/>
              <w:end w:w="120" w:type="dxa"/>
            </w:tcMar>
            <w:vAlign w:val="center"/>
          </w:tcPr>
          <w:p>
            <w:pPr>
              <w:spacing w:after="0"/>
            </w:pPr>
            <w:r>
              <w:rPr>
                <w:rFonts w:ascii="Aptos" w:hAnsi="Aptos"/>
                <w:b/>
                <w:i w:val="0"/>
                <w:color w:val="FFFFFF"/>
                <w:sz w:val="16"/>
              </w:rPr>
              <w:t>Facts</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Time horizon</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Ability to handle loss</w:t>
            </w:r>
          </w:p>
        </w:tc>
        <w:tc>
          <w:tcPr>
            <w:tcW w:type="dxa" w:w="1160"/>
            <w:shd w:fill="163A63"/>
            <w:tcMar>
              <w:top w:w="100" w:type="dxa"/>
              <w:start w:w="120" w:type="dxa"/>
              <w:bottom w:w="100" w:type="dxa"/>
              <w:end w:w="120" w:type="dxa"/>
            </w:tcMar>
            <w:vAlign w:val="center"/>
          </w:tcPr>
          <w:p>
            <w:pPr>
              <w:spacing w:after="0"/>
            </w:pPr>
            <w:r>
              <w:rPr>
                <w:rFonts w:ascii="Aptos" w:hAnsi="Aptos"/>
                <w:b/>
                <w:i w:val="0"/>
                <w:color w:val="FFFFFF"/>
                <w:sz w:val="16"/>
              </w:rPr>
              <w:t>Key question</w:t>
            </w:r>
          </w:p>
        </w:tc>
      </w:tr>
      <w:tr>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Ari</w:t>
            </w:r>
          </w:p>
        </w:tc>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Needs tuition money in 18 months. A loss could delay enrollment.</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1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t>Sam</w:t>
            </w:r>
          </w:p>
        </w:tc>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Has an eight-year goal and could wait one extra year if markets fall.</w:t>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1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00"/>
            <w:tcMar>
              <w:top w:w="100" w:type="dxa"/>
              <w:start w:w="120" w:type="dxa"/>
              <w:bottom w:w="100" w:type="dxa"/>
              <w:end w:w="120" w:type="dxa"/>
            </w:tcMar>
            <w:vAlign w:val="center"/>
          </w:tcPr>
          <w:p>
            <w:pPr>
              <w:spacing w:after="0"/>
            </w:pPr>
            <w:r>
              <w:rPr>
                <w:rFonts w:ascii="Aptos" w:hAnsi="Aptos"/>
                <w:b w:val="0"/>
                <w:i w:val="0"/>
                <w:color w:val="1F2933"/>
                <w:sz w:val="16"/>
              </w:rPr>
              <w:t>Jordan</w:t>
            </w:r>
          </w:p>
        </w:tc>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Has a 35-year goal, steady income, and accepts temporary declines.</w:t>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160"/>
            <w:tcMar>
              <w:top w:w="100" w:type="dxa"/>
              <w:start w:w="120" w:type="dxa"/>
              <w:bottom w:w="100" w:type="dxa"/>
              <w:end w:w="120" w:type="dxa"/>
            </w:tcMar>
            <w:vAlign w:val="center"/>
          </w:tcPr>
          <w:p>
            <w:pPr>
              <w:spacing w:after="0"/>
            </w:pPr>
            <w:r>
              <w:rPr>
                <w:rFonts w:ascii="Aptos" w:hAnsi="Aptos"/>
                <w:b w:val="0"/>
                <w:i w:val="0"/>
                <w:color w:val="1F2933"/>
                <w:sz w:val="16"/>
              </w:rPr>
            </w:r>
          </w:p>
        </w:tc>
      </w:tr>
    </w:tbl>
    <w:p>
      <w:r>
        <w:t>Rank the profiles from lowest to highest ability to accept market risk. Use time horizon, need for the money, and flexibility as evidence.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Make an Evidence-Based Recommendation</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7"/>
              </w:rPr>
              <w:t>Decision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7"/>
              </w:rPr>
              <w:t>My 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Goal and deadline</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Time horizon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Need for liquidity</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Possible gain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Possible loss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Ability to delay the goal</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Risk level that fits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Fact still needing research</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recommendation for one profile. Include one return calculation, one difficult-year result, the time horizon, a risk tradeoff, and a reminder that returns are not guaranteed.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