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INVESTMENT RESEARCH AND SAFETY</w:t>
      </w:r>
    </w:p>
    <w:p>
      <w:pPr>
        <w:pStyle w:val="Title"/>
      </w:pPr>
      <w:r>
        <w:t>Recognizing Investment Fraud and Red Flags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Fraud response 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Spot warning signs in fictional pitches, protect personal information, verify products and professionals through official sources, and create a safe response plan.</w:t>
            </w:r>
          </w:p>
        </w:tc>
      </w:tr>
    </w:tbl>
    <w:p>
      <w:pPr>
        <w:spacing w:after="0"/>
      </w:pPr>
    </w:p>
    <w:p>
      <w:pPr>
        <w:pStyle w:val="Heading1"/>
      </w:pPr>
      <w:r>
        <w:t>Pause, Verify, and Protect</w:t>
      </w:r>
    </w:p>
    <w:p>
      <w:r>
        <w:t>A polished website, famous face, group recommendation, or impressive return claim does not prove an investment is legitimate. A safe response is to stop, avoid sending money or information, research independently, and involve a trusted adult when a teen is targeted.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3600"/>
        <w:gridCol w:w="35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Red flag</w:t>
            </w:r>
          </w:p>
        </w:tc>
        <w:tc>
          <w:tcPr>
            <w:tcW w:type="dxa" w:w="3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  <w:tc>
          <w:tcPr>
            <w:tcW w:type="dxa" w:w="3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response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Guaranteed high return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Every investment involves risk.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 not rely on the promise; verify independently.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Pressure to act now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Urgency limits research and clear thinking.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Pause and refuse the deadline.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Unsolicited message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sender and claim may be false.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 not click links or share information.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Unusual payment request</w:t>
            </w:r>
          </w:p>
        </w:tc>
        <w:tc>
          <w:tcPr>
            <w:tcW w:type="dxa" w:w="3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cards, personal accounts, or foreign wires are major warnings.</w:t>
            </w:r>
          </w:p>
        </w:tc>
        <w:tc>
          <w:tcPr>
            <w:tcW w:type="dxa" w:w="3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 not pay; preserve the message.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Unverified seller</w:t>
            </w:r>
          </w:p>
        </w:tc>
        <w:tc>
          <w:tcPr>
            <w:tcW w:type="dxa" w:w="3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Credentials and registration may be false.</w:t>
            </w:r>
          </w:p>
        </w:tc>
        <w:tc>
          <w:tcPr>
            <w:tcW w:type="dxa" w:w="3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 official background-check tools.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IMMEDIATE SAFETY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If money or personal information was already sent, stop further contact, tell a trusted adult, contact the financial institution through an official channel, change affected credentials, and report promptly.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Mark the Red Flags</w:t>
      </w:r>
    </w:p>
    <w:p>
      <w:r>
        <w:t>Fictional message: “Earn a guaranteed 18% in 30 days. Everyone at your school is joining. Only two spots remain for the next two hours. Pay $500 by gift card or send crypto to my personal wallet. A celebrity proves it works. Do not tell your bank because they will slow you down.”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300"/>
        <w:gridCol w:w="2500"/>
        <w:gridCol w:w="2560"/>
      </w:tblGrid>
      <w:tr>
        <w:trPr>
          <w:tblHeader w:val="true"/>
        </w:trPr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Pitch detail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Red flag?</w:t>
            </w:r>
          </w:p>
        </w:tc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response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Guaranteed 18% return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Everyone is joining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Two-hour deadline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Gift card or personal crypto wallet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Celebrity testimonial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Instruction to hide it from the bank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Find at least six warning signs. Which one creates the most immediate risk of losing money?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Test the Return Claim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2200"/>
        <w:gridCol w:w="2200"/>
        <w:gridCol w:w="2060"/>
      </w:tblGrid>
      <w:tr>
        <w:trPr>
          <w:tblHeader w:val="true"/>
        </w:trPr>
        <w:tc>
          <w:tcPr>
            <w:tcW w:type="dxa" w:w="2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Claim or scenario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math shows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math cannot prove</w:t>
            </w:r>
          </w:p>
        </w:tc>
      </w:tr>
      <w:t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 grows 18% in 30 days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Same 18% repeats monthly for one year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Investor loses the full $500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only to understand the size of the claim. Do not treat the result as evidence that the return is possible or guaranteed. For the repeated claim, use $500 x 1.18^12.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Safe and Unsafe Verification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2100"/>
        <w:gridCol w:w="2100"/>
        <w:gridCol w:w="18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Safe, unsafe, or incomplete?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  <w:tc>
          <w:tcPr>
            <w:tcW w:type="dxa" w:w="18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Better next step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Click the link in the unsolicited message.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Search an official registration tool independently.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Trust screenshots of profits.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Read SEC filings and product documents.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Send a small payment as a test.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Ask how the seller is paid and check disciplinary history.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a “small test payment” is not a safe way to verify an investment.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 Response Sequence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3000"/>
        <w:gridCol w:w="3100"/>
        <w:gridCol w:w="2360"/>
      </w:tblGrid>
      <w:tr>
        <w:trPr>
          <w:tblHeader w:val="true"/>
        </w:trPr>
        <w:tc>
          <w:tcPr>
            <w:tcW w:type="dxa" w:w="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Order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3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it matters</w:t>
            </w:r>
          </w:p>
        </w:tc>
        <w:tc>
          <w:tcPr>
            <w:tcW w:type="dxa" w:w="2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save</w:t>
            </w:r>
          </w:p>
        </w:tc>
      </w:tr>
      <w:tr>
        <w:tc>
          <w:tcPr>
            <w:tcW w:type="dxa" w:w="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these actions in a safe order: stop contact; tell a trusted adult; preserve messages; contact the bank through an official channel; secure accounts; report to the appropriate authorities.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Fraud Response Plan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Safety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action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Red flags identified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No money or data sent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Trusted adult involved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Official registration checked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Product documents reviewed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Financial institution contacted if needed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Credentials secured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Report and evidence plan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response to the fictional pitch. Include at least five red flags, the 30-day claim calculation, four safe actions, and a rule about links, payments, or personal information.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