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  <w:r>
        <w:rPr>
          <w:rFonts w:ascii="Aptos" w:hAnsi="Aptos"/>
          <w:b/>
          <w:i w:val="0"/>
          <w:color w:val="D89A2B"/>
          <w:sz w:val="18"/>
        </w:rPr>
        <w:t>CFM CAREER MANAGEMENT: CM.7 LEADERSHIP AND ETHICS</w:t>
      </w:r>
    </w:p>
    <w:p>
      <w:pPr>
        <w:pStyle w:val="Title"/>
      </w:pPr>
      <w:r>
        <w:t>Recognizing Conflicts of Interest and Using Ethical Safeguards</w:t>
      </w:r>
    </w:p>
    <w:p>
      <w:pPr>
        <w:pStyle w:val="Subtitle"/>
      </w:pPr>
      <w:r>
        <w:t>Detailed practice, calculation, decision-making, and assessment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2340"/>
        <w:gridCol w:w="2340"/>
        <w:gridCol w:w="2340"/>
        <w:gridCol w:w="2340"/>
      </w:tblGrid>
      <w:tr>
        <w:trPr>
          <w:tblHeader w:val="true"/>
        </w:trP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2F8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2E5D89"/>
                <w:sz w:val="16"/>
              </w:rPr>
              <w:t>GRADES</w:t>
              <w:br/>
            </w:r>
            <w:r>
              <w:rPr>
                <w:rFonts w:ascii="Aptos" w:hAnsi="Aptos"/>
                <w:b/>
                <w:i w:val="0"/>
                <w:color w:val="163A63"/>
                <w:sz w:val="20"/>
              </w:rPr>
              <w:t>9-12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2F8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2E5D89"/>
                <w:sz w:val="16"/>
              </w:rPr>
              <w:t>TIME</w:t>
              <w:br/>
            </w:r>
            <w:r>
              <w:rPr>
                <w:rFonts w:ascii="Aptos" w:hAnsi="Aptos"/>
                <w:b/>
                <w:i w:val="0"/>
                <w:color w:val="163A63"/>
                <w:sz w:val="20"/>
              </w:rPr>
              <w:t>2 x 42 min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2F8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2E5D89"/>
                <w:sz w:val="16"/>
              </w:rPr>
              <w:t>GROUPING</w:t>
              <w:br/>
            </w:r>
            <w:r>
              <w:rPr>
                <w:rFonts w:ascii="Aptos" w:hAnsi="Aptos"/>
                <w:b/>
                <w:i w:val="0"/>
                <w:color w:val="163A63"/>
                <w:sz w:val="20"/>
              </w:rPr>
              <w:t>I / pairs / whole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2F8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2E5D89"/>
                <w:sz w:val="16"/>
              </w:rPr>
              <w:t>PRODUCT</w:t>
              <w:br/>
            </w:r>
            <w:r>
              <w:rPr>
                <w:rFonts w:ascii="Aptos" w:hAnsi="Aptos"/>
                <w:b/>
                <w:i w:val="0"/>
                <w:color w:val="163A63"/>
                <w:sz w:val="20"/>
              </w:rPr>
              <w:t>Recommend</w:t>
            </w:r>
          </w:p>
        </w:tc>
      </w:tr>
    </w:tbl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tblHeader w:val="true"/>
        </w:trPr>
        <w:tc>
          <w:tcPr>
            <w:tcW w:type="dxa" w:w="93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2F8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163A63"/>
                <w:sz w:val="20"/>
              </w:rPr>
              <w:t xml:space="preserve">YOUR CHALLENGE  </w:t>
            </w:r>
            <w:r>
              <w:rPr>
                <w:rFonts w:ascii="Aptos" w:hAnsi="Aptos"/>
                <w:b w:val="0"/>
                <w:i w:val="0"/>
                <w:color w:val="1F2933"/>
                <w:sz w:val="20"/>
              </w:rPr>
              <w:t>Identify actual, potential, and apparent conflicts; disclose facts; compare safeguards; and recommend an ethical process.</w:t>
            </w:r>
          </w:p>
        </w:tc>
      </w:tr>
    </w:tbl>
    <w:p>
      <w:pPr>
        <w:spacing w:after="0"/>
      </w:pPr>
    </w:p>
    <w:p>
      <w:pPr>
        <w:pStyle w:val="Heading1"/>
      </w:pPr>
      <w:r>
        <w:t>New York CFM Connections: Leadership Styles, Inclusive Teams, Delegation, and Ethical Safeguards</w:t>
      </w:r>
    </w:p>
    <w:p>
      <w:r>
        <w:t>A conflict of interest occurs when a personal interest could influence—or appear to influence—a work decision. A conflict is not automatically proof of corruption. Ethical leadership requires disclosure, independent review, recusal when appropriate, transparent criteria, accurate records, and protection of confidential information.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2600"/>
        <w:gridCol w:w="6760"/>
      </w:tblGrid>
      <w:tr>
        <w:trPr>
          <w:tblHeader w:val="true"/>
          <w:tblHeader w:val="true"/>
        </w:trPr>
        <w:tc>
          <w:tcPr>
            <w:tcW w:type="dxa" w:w="260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Term</w:t>
            </w:r>
          </w:p>
        </w:tc>
        <w:tc>
          <w:tcPr>
            <w:tcW w:type="dxa" w:w="676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Student-friendly meaning</w:t>
            </w:r>
          </w:p>
        </w:tc>
      </w:tr>
      <w:tr>
        <w:tc>
          <w:tcPr>
            <w:tcW w:type="dxa" w:w="26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Conflict of interest</w:t>
            </w:r>
          </w:p>
        </w:tc>
        <w:tc>
          <w:tcPr>
            <w:tcW w:type="dxa" w:w="67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A personal interest that may improperly influence work judgment.</w:t>
            </w:r>
          </w:p>
        </w:tc>
      </w:tr>
      <w:tr>
        <w:tc>
          <w:tcPr>
            <w:tcW w:type="dxa" w:w="26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Actual conflict</w:t>
            </w:r>
          </w:p>
        </w:tc>
        <w:tc>
          <w:tcPr>
            <w:tcW w:type="dxa" w:w="676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A present conflict affecting a decision.</w:t>
            </w:r>
          </w:p>
        </w:tc>
      </w:tr>
      <w:tr>
        <w:tc>
          <w:tcPr>
            <w:tcW w:type="dxa" w:w="26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Potential conflict</w:t>
            </w:r>
          </w:p>
        </w:tc>
        <w:tc>
          <w:tcPr>
            <w:tcW w:type="dxa" w:w="67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A situation that could become a conflict.</w:t>
            </w:r>
          </w:p>
        </w:tc>
      </w:tr>
      <w:tr>
        <w:tc>
          <w:tcPr>
            <w:tcW w:type="dxa" w:w="26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Apparent conflict</w:t>
            </w:r>
          </w:p>
        </w:tc>
        <w:tc>
          <w:tcPr>
            <w:tcW w:type="dxa" w:w="676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A situation that could reasonably look biased even if no improper act occurred.</w:t>
            </w:r>
          </w:p>
        </w:tc>
      </w:tr>
      <w:tr>
        <w:tc>
          <w:tcPr>
            <w:tcW w:type="dxa" w:w="26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Disclosure</w:t>
            </w:r>
          </w:p>
        </w:tc>
        <w:tc>
          <w:tcPr>
            <w:tcW w:type="dxa" w:w="67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Providing relevant facts to an authorized person.</w:t>
            </w:r>
          </w:p>
        </w:tc>
      </w:tr>
      <w:tr>
        <w:tc>
          <w:tcPr>
            <w:tcW w:type="dxa" w:w="26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Recusal</w:t>
            </w:r>
          </w:p>
        </w:tc>
        <w:tc>
          <w:tcPr>
            <w:tcW w:type="dxa" w:w="676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Withdrawing from a decision because impartiality may be questioned.</w:t>
            </w:r>
          </w:p>
        </w:tc>
      </w:tr>
    </w:tbl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tblHeader w:val="true"/>
        </w:trPr>
        <w:tc>
          <w:tcPr>
            <w:tcW w:type="dxa" w:w="93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2F8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163A63"/>
                <w:sz w:val="20"/>
              </w:rPr>
              <w:t xml:space="preserve">CLASSROOM USE  </w:t>
            </w:r>
            <w:r>
              <w:rPr>
                <w:rFonts w:ascii="Aptos" w:hAnsi="Aptos"/>
                <w:b w:val="0"/>
                <w:i w:val="0"/>
                <w:color w:val="1F2933"/>
                <w:sz w:val="20"/>
              </w:rPr>
              <w:t>All people, employers, figures, brackets, and documents in this packet are fictional. Never place a real Social Security number, employer ID, bank number, or tax document in classroom work.</w:t>
            </w:r>
          </w:p>
        </w:tc>
      </w:tr>
    </w:tbl>
    <w:p>
      <w:pPr>
        <w:spacing w:after="0"/>
      </w:pPr>
    </w:p>
    <w:p>
      <w:pPr>
        <w:spacing w:before="0" w:after="0" w:line="20" w:lineRule="exact"/>
      </w:pPr>
      <w:r>
        <w:rPr>
          <w:rFonts w:ascii="Aptos" w:hAnsi="Aptos"/>
          <w:b w:val="0"/>
          <w:i w:val="0"/>
          <w:color w:val="1F2933"/>
          <w:sz w:val="2"/>
        </w:rPr>
        <w:br w:type="page"/>
      </w:r>
    </w:p>
    <w:p>
      <w:pPr>
        <w:pStyle w:val="Heading1"/>
      </w:pPr>
      <w:r>
        <w:t>Part 1 - Classify Conflict-of-Interest Scenarios</w:t>
      </w:r>
    </w:p>
    <w:p>
      <w:r>
        <w:t>Review gifts, family vendors, outside jobs, confidential information, friendships, and school-club purchasing.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2340"/>
        <w:gridCol w:w="2340"/>
        <w:gridCol w:w="2340"/>
        <w:gridCol w:w="2340"/>
      </w:tblGrid>
      <w:tr>
        <w:trPr>
          <w:tblHeader w:val="true"/>
          <w:tblHeader w:val="true"/>
        </w:trPr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Scenario</w:t>
            </w:r>
          </w:p>
        </w:tc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Actual, potential, apparent, or none</w:t>
            </w:r>
          </w:p>
        </w:tc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Why</w:t>
            </w:r>
          </w:p>
        </w:tc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Missing facts</w:t>
            </w:r>
          </w:p>
        </w:tc>
      </w:tr>
      <w:t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Vendor gift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Relative owns bidder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Employee has second job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Uses customer list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Friend applies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Club leader buys own product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</w:tbl>
    <w:p>
      <w:r>
        <w:t>Do not call every relationship unethical.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before="0" w:after="0" w:line="20" w:lineRule="exact"/>
      </w:pPr>
      <w:r>
        <w:rPr>
          <w:rFonts w:ascii="Aptos" w:hAnsi="Aptos"/>
          <w:b w:val="0"/>
          <w:i w:val="0"/>
          <w:color w:val="1F2933"/>
          <w:sz w:val="2"/>
        </w:rPr>
        <w:br w:type="page"/>
      </w:r>
    </w:p>
    <w:p>
      <w:pPr>
        <w:pStyle w:val="Heading1"/>
      </w:pPr>
      <w:r>
        <w:t>Part 2 - Map Interests and Duties</w:t>
      </w:r>
    </w:p>
    <w:p>
      <w:r>
        <w:t>Analyze a fictional student store choosing among three suppliers when the buyer’s cousin owns one.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2340"/>
        <w:gridCol w:w="2340"/>
        <w:gridCol w:w="2340"/>
        <w:gridCol w:w="2340"/>
      </w:tblGrid>
      <w:tr>
        <w:trPr>
          <w:tblHeader w:val="true"/>
          <w:tblHeader w:val="true"/>
        </w:trPr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Stakeholder</w:t>
            </w:r>
          </w:p>
        </w:tc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Interest/duty</w:t>
            </w:r>
          </w:p>
        </w:tc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Possible harm</w:t>
            </w:r>
          </w:p>
        </w:tc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Information to protect</w:t>
            </w:r>
          </w:p>
        </w:tc>
      </w:tr>
      <w:t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Student buyer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Cousin/vendor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Other vendors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School/store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Customers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Advisor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</w:tbl>
    <w:p>
      <w:r>
        <w:t>Identify both fairness and confidentiality.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before="0" w:after="0" w:line="20" w:lineRule="exact"/>
      </w:pPr>
      <w:r>
        <w:rPr>
          <w:rFonts w:ascii="Aptos" w:hAnsi="Aptos"/>
          <w:b w:val="0"/>
          <w:i w:val="0"/>
          <w:color w:val="1F2933"/>
          <w:sz w:val="2"/>
        </w:rPr>
        <w:br w:type="page"/>
      </w:r>
    </w:p>
    <w:p>
      <w:pPr>
        <w:pStyle w:val="Heading1"/>
      </w:pPr>
      <w:r>
        <w:t>Part 3 - Compare Ethical Safeguards</w:t>
      </w:r>
    </w:p>
    <w:p>
      <w:r>
        <w:t>Evaluate disclosure, recusal, multiple bids, scoring rubric, approval, gift policy, and audit trail.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2340"/>
        <w:gridCol w:w="2340"/>
        <w:gridCol w:w="2340"/>
        <w:gridCol w:w="2340"/>
      </w:tblGrid>
      <w:tr>
        <w:trPr>
          <w:tblHeader w:val="true"/>
          <w:tblHeader w:val="true"/>
        </w:trPr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Safeguard</w:t>
            </w:r>
          </w:p>
        </w:tc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Risk reduced</w:t>
            </w:r>
          </w:p>
        </w:tc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Limitation</w:t>
            </w:r>
          </w:p>
        </w:tc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Evidence it was used</w:t>
            </w:r>
          </w:p>
        </w:tc>
      </w:tr>
      <w:t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Disclosure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Recusal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Multiple bids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Rubric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Second approval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Gift policy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Audit trail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</w:tbl>
    <w:p>
      <w:r>
        <w:t>One safeguard may not be enough.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before="0" w:after="0" w:line="20" w:lineRule="exact"/>
      </w:pPr>
      <w:r>
        <w:rPr>
          <w:rFonts w:ascii="Aptos" w:hAnsi="Aptos"/>
          <w:b w:val="0"/>
          <w:i w:val="0"/>
          <w:color w:val="1F2933"/>
          <w:sz w:val="2"/>
        </w:rPr>
        <w:br w:type="page"/>
      </w:r>
    </w:p>
    <w:p>
      <w:pPr>
        <w:pStyle w:val="Heading1"/>
      </w:pPr>
      <w:r>
        <w:t>Part 4 - Write a Conflict Disclosure</w:t>
      </w:r>
    </w:p>
    <w:p>
      <w:r>
        <w:t>Draft a short message to the advisor.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4680"/>
        <w:gridCol w:w="4680"/>
      </w:tblGrid>
      <w:tr>
        <w:trPr>
          <w:tblHeader w:val="true"/>
          <w:tblHeader w:val="true"/>
        </w:trPr>
        <w:tc>
          <w:tcPr>
            <w:tcW w:type="dxa" w:w="468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Message element</w:t>
            </w:r>
          </w:p>
        </w:tc>
        <w:tc>
          <w:tcPr>
            <w:tcW w:type="dxa" w:w="468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Student wording</w:t>
            </w:r>
          </w:p>
        </w:tc>
      </w:tr>
      <w:tr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Relationship</w:t>
            </w:r>
          </w:p>
        </w:tc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468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Decision involved</w:t>
            </w:r>
          </w:p>
        </w:tc>
        <w:tc>
          <w:tcPr>
            <w:tcW w:type="dxa" w:w="468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Known facts</w:t>
            </w:r>
          </w:p>
        </w:tc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468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No motive claim</w:t>
            </w:r>
          </w:p>
        </w:tc>
        <w:tc>
          <w:tcPr>
            <w:tcW w:type="dxa" w:w="468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Requested safeguard</w:t>
            </w:r>
          </w:p>
        </w:tc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468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Confidentiality</w:t>
            </w:r>
          </w:p>
        </w:tc>
        <w:tc>
          <w:tcPr>
            <w:tcW w:type="dxa" w:w="468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</w:tbl>
    <w:p>
      <w:r>
        <w:t>Disclosure should be timely and factual.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before="0" w:after="0" w:line="20" w:lineRule="exact"/>
      </w:pPr>
      <w:r>
        <w:rPr>
          <w:rFonts w:ascii="Aptos" w:hAnsi="Aptos"/>
          <w:b w:val="0"/>
          <w:i w:val="0"/>
          <w:color w:val="1F2933"/>
          <w:sz w:val="2"/>
        </w:rPr>
        <w:br w:type="page"/>
      </w:r>
    </w:p>
    <w:p>
      <w:pPr>
        <w:pStyle w:val="Heading1"/>
      </w:pPr>
      <w:r>
        <w:t>Part 5 - Write an Ethical Purchasing Process</w:t>
      </w:r>
    </w:p>
    <w:p>
      <w:r>
        <w:t>Write 150–200 words with criteria, roles, documentation, and review.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4680"/>
        <w:gridCol w:w="4680"/>
      </w:tblGrid>
      <w:tr>
        <w:trPr>
          <w:tblHeader w:val="true"/>
          <w:tblHeader w:val="true"/>
        </w:trPr>
        <w:tc>
          <w:tcPr>
            <w:tcW w:type="dxa" w:w="468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Decision check</w:t>
            </w:r>
          </w:p>
        </w:tc>
        <w:tc>
          <w:tcPr>
            <w:tcW w:type="dxa" w:w="468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Evidence</w:t>
            </w:r>
          </w:p>
        </w:tc>
      </w:tr>
      <w:tr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Conflict type</w:t>
            </w:r>
          </w:p>
        </w:tc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468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Disclosure</w:t>
            </w:r>
          </w:p>
        </w:tc>
        <w:tc>
          <w:tcPr>
            <w:tcW w:type="dxa" w:w="468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Recusal</w:t>
            </w:r>
          </w:p>
        </w:tc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468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Bid criteria</w:t>
            </w:r>
          </w:p>
        </w:tc>
        <w:tc>
          <w:tcPr>
            <w:tcW w:type="dxa" w:w="468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Independent review</w:t>
            </w:r>
          </w:p>
        </w:tc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468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Recordkeeping</w:t>
            </w:r>
          </w:p>
        </w:tc>
        <w:tc>
          <w:tcPr>
            <w:tcW w:type="dxa" w:w="468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Privacy</w:t>
            </w:r>
          </w:p>
        </w:tc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468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Follow-up</w:t>
            </w:r>
          </w:p>
        </w:tc>
        <w:tc>
          <w:tcPr>
            <w:tcW w:type="dxa" w:w="468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</w:tbl>
    <w:p>
      <w:r>
        <w:t>Do not choose a winning vendor without complete bid data.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sectPr w:rsidR="00FC693F" w:rsidRPr="0006063C" w:rsidSect="00034616">
      <w:headerReference w:type="default" r:id="rId9"/>
      <w:footerReference w:type="default" r:id="rId10"/>
      <w:headerReference w:type="first" r:id="rId11"/>
      <w:footerReference w:type="first" r:id="rId12"/>
      <w:headerReference w:type="even" r:id="rId13"/>
      <w:footerReference w:type="even" r:id="rId14"/>
      <w:pgSz w:w="12240" w:h="15840"/>
      <w:pgMar w:top="1037" w:right="1123" w:bottom="979" w:left="1123" w:header="432" w:footer="28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center"/>
    </w:pPr>
    <w:r>
      <w:rPr>
        <w:rFonts w:ascii="Arial" w:hAnsi="Arial"/>
        <w:b/>
        <w:color w:val="0F3669"/>
        <w:sz w:val="15"/>
      </w:rPr>
    </w:r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  <w:t>Independent CFMNY resource • Not affiliated with or endorsed by NYSED • Free for educational use; no resale or republication.</w:t>
    </w:r>
  </w:p>
  <w:p>
    <w:pPr>
      <w:jc w:val="center"/>
    </w:pPr>
    <w:r>
      <w:rPr>
        <w:rFonts w:ascii="Arial" w:hAnsi="Arial"/>
        <w:color w:val="4B5563"/>
        <w:sz w:val="14"/>
      </w:rPr>
    </w:r>
  </w:p>
  <w:p>
    <w:pPr>
      <w:jc w:val="center"/>
    </w:pPr>
    <w:r>
      <w:rPr>
        <w:rFonts w:ascii="Arial" w:hAnsi="Arial"/>
        <w:color w:val="073B82"/>
        <w:sz w:val="14"/>
      </w:rPr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  <w:t>Independent CFMNY resource • Not affiliated with or endorsed by NYSED • Free for educational use; no resale or republication.</w:t>
    </w:r>
  </w:p>
</w:ftr>
</file>

<file path=word/footer3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  <w:t>Independent CFMNY resource • Not affiliated with or endorsed by NYSED • Free for educational use; no resale or republication.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</w:pPr>
    <w:r>
      <w:rPr>
        <w:rFonts w:ascii="Aptos" w:hAnsi="Aptos"/>
        <w:b/>
        <w:i w:val="0"/>
        <w:color w:val="163A63"/>
        <w:sz w:val="18"/>
      </w:rPr>
      <w:t>CFMNY.org</w:t>
    </w:r>
    <w:r>
      <w:rPr>
        <w:rFonts w:ascii="Aptos" w:hAnsi="Aptos"/>
        <w:b w:val="0"/>
        <w:i w:val="0"/>
        <w:color w:val="5F6B76"/>
        <w:sz w:val="18"/>
      </w:rPr>
      <w:t xml:space="preserve">  |  Student Learning Packet</w:t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header3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9" w:lineRule="auto"/>
    </w:pPr>
    <w:rPr>
      <w:rFonts w:ascii="Aptos" w:hAnsi="Aptos"/>
      <w:color w:val="1F2933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4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163A63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20" w:after="100"/>
      <w:outlineLvl w:val="1"/>
    </w:pPr>
    <w:rPr>
      <w:rFonts w:asciiTheme="majorHAnsi" w:eastAsiaTheme="majorEastAsia" w:hAnsiTheme="majorHAnsi" w:cstheme="majorBidi" w:ascii="Aptos" w:hAnsi="Aptos"/>
      <w:b/>
      <w:bCs/>
      <w:color w:val="2E5D89"/>
      <w:sz w:val="27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 w:ascii="Aptos" w:hAnsi="Aptos"/>
      <w:b/>
      <w:bCs/>
      <w:color w:val="163A63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120" w:line="240" w:lineRule="auto" w:before="0"/>
      <w:contextualSpacing/>
    </w:pPr>
    <w:rPr>
      <w:rFonts w:asciiTheme="majorHAnsi" w:eastAsiaTheme="majorEastAsia" w:hAnsiTheme="majorHAnsi" w:cstheme="majorBidi" w:ascii="Aptos Display" w:hAnsi="Aptos Display"/>
      <w:b/>
      <w:color w:val="163A63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keepNext/>
      <w:numPr>
        <w:ilvl w:val="1"/>
      </w:numPr>
      <w:spacing w:before="0" w:after="200"/>
    </w:pPr>
    <w:rPr>
      <w:rFonts w:asciiTheme="majorHAnsi" w:eastAsiaTheme="majorEastAsia" w:hAnsiTheme="majorHAnsi" w:cstheme="majorBidi" w:ascii="Aptos" w:hAnsi="Aptos"/>
      <w:b w:val="0"/>
      <w:i/>
      <w:iCs/>
      <w:color w:val="5F6B76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80" w:line="269" w:lineRule="auto"/>
      <w:ind w:left="547" w:hanging="274"/>
      <w:contextualSpacing/>
    </w:pPr>
    <w:rPr>
      <w:rFonts w:ascii="Aptos" w:hAnsi="Aptos"/>
      <w:sz w:val="21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80" w:line="269" w:lineRule="auto"/>
      <w:ind w:left="547" w:hanging="274"/>
      <w:contextualSpacing/>
    </w:pPr>
    <w:rPr>
      <w:rFonts w:ascii="Aptos" w:hAnsi="Aptos"/>
      <w:sz w:val="21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eader" Target="header2.xml"/><Relationship Id="rId12" Type="http://schemas.openxmlformats.org/officeDocument/2006/relationships/footer" Target="footer2.xml"/><Relationship Id="rId13" Type="http://schemas.openxmlformats.org/officeDocument/2006/relationships/header" Target="header3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