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INVESTMENT RESEARCH AND SAFETY</w:t>
      </w:r>
    </w:p>
    <w:p>
      <w:pPr>
        <w:pStyle w:val="Title"/>
      </w:pPr>
      <w:r>
        <w:t>Reading a Stock Quote and Measuring Return</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Stock research note</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Read a fictional stock quote, calculate price movement and total return, and separate useful market data from conclusions the quote cannot support.</w:t>
            </w:r>
          </w:p>
        </w:tc>
      </w:tr>
    </w:tbl>
    <w:p>
      <w:pPr>
        <w:spacing w:after="0"/>
      </w:pPr>
    </w:p>
    <w:p>
      <w:pPr>
        <w:pStyle w:val="Heading1"/>
      </w:pPr>
      <w:r>
        <w:t>A Quote Is a Snapshot, Not a Recommendation</w:t>
      </w:r>
    </w:p>
    <w:p>
      <w:r>
        <w:t>A stock quote summarizes recent trading information. It can show price, daily range, volume, and other measures. It does not explain the full business, guarantee future performance, or tell an investor whether the stock fits a goal.</w:t>
      </w:r>
    </w:p>
    <w:tbl>
      <w:tblPr>
        <w:tblStyle w:val="TableGrid"/>
        <w:tblW w:type="dxa" w:w="9360"/>
        <w:jc w:val="center"/>
        <w:tblLayout w:type="fixed"/>
        <w:tblLook w:firstColumn="1" w:firstRow="1" w:lastColumn="0" w:lastRow="0" w:noHBand="0" w:noVBand="1" w:val="04A0"/>
        <w:tblInd w:w="120" w:type="dxa"/>
      </w:tblPr>
      <w:tblGrid>
        <w:gridCol w:w="2600"/>
        <w:gridCol w:w="6760"/>
      </w:tblGrid>
      <w:tr>
        <w:trPr>
          <w:tblHeader w:val="true"/>
        </w:trPr>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7"/>
              </w:rPr>
              <w:t>Quote item</w:t>
            </w:r>
          </w:p>
        </w:tc>
        <w:tc>
          <w:tcPr>
            <w:tcW w:type="dxa" w:w="6760"/>
            <w:shd w:fill="163A63"/>
            <w:tcMar>
              <w:top w:w="100" w:type="dxa"/>
              <w:start w:w="120" w:type="dxa"/>
              <w:bottom w:w="100" w:type="dxa"/>
              <w:end w:w="120" w:type="dxa"/>
            </w:tcMar>
            <w:vAlign w:val="center"/>
          </w:tcPr>
          <w:p>
            <w:pPr>
              <w:spacing w:after="0"/>
            </w:pPr>
            <w:r>
              <w:rPr>
                <w:rFonts w:ascii="Aptos" w:hAnsi="Aptos"/>
                <w:b/>
                <w:i w:val="0"/>
                <w:color w:val="FFFFFF"/>
                <w:sz w:val="17"/>
              </w:rPr>
              <w:t>Student-friendly meaning</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7"/>
              </w:rPr>
              <w:t>Previous close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7"/>
              </w:rPr>
              <w:t>Final trading price from the prior session.</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7"/>
              </w:rPr>
              <w:t>Open</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7"/>
              </w:rPr>
              <w:t>Price of the first trade in the current session.</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7"/>
              </w:rPr>
              <w:t>Day range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7"/>
              </w:rPr>
              <w:t>Lowest and highest prices during the session.</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7"/>
              </w:rPr>
              <w:t>Volume</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7"/>
              </w:rPr>
              <w:t>Number of shares traded during the session.</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7"/>
              </w:rPr>
              <w:t>52-week range</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7"/>
              </w:rPr>
              <w:t>Lowest and highest trading prices over roughly one year.</w:t>
            </w:r>
          </w:p>
        </w:tc>
      </w:tr>
      <w:tr>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7"/>
              </w:rPr>
              <w:t>EPS</w:t>
            </w:r>
          </w:p>
        </w:tc>
        <w:tc>
          <w:tcPr>
            <w:tcW w:type="dxa" w:w="6760"/>
            <w:shd w:fill="F4F6F8"/>
            <w:tcMar>
              <w:top w:w="100" w:type="dxa"/>
              <w:start w:w="120" w:type="dxa"/>
              <w:bottom w:w="100" w:type="dxa"/>
              <w:end w:w="120" w:type="dxa"/>
            </w:tcMar>
            <w:vAlign w:val="center"/>
          </w:tcPr>
          <w:p>
            <w:pPr>
              <w:spacing w:after="0"/>
            </w:pPr>
            <w:r>
              <w:rPr>
                <w:rFonts w:ascii="Aptos" w:hAnsi="Aptos"/>
                <w:b w:val="0"/>
                <w:i w:val="0"/>
                <w:color w:val="1F2933"/>
                <w:sz w:val="17"/>
              </w:rPr>
              <w:t>Earnings per share reported for the stated period.</w:t>
            </w:r>
          </w:p>
        </w:tc>
      </w:tr>
      <w:tr>
        <w:tc>
          <w:tcPr>
            <w:tcW w:type="dxa" w:w="2600"/>
            <w:tcMar>
              <w:top w:w="100" w:type="dxa"/>
              <w:start w:w="120" w:type="dxa"/>
              <w:bottom w:w="100" w:type="dxa"/>
              <w:end w:w="120" w:type="dxa"/>
            </w:tcMar>
            <w:vAlign w:val="center"/>
          </w:tcPr>
          <w:p>
            <w:pPr>
              <w:spacing w:after="0"/>
            </w:pPr>
            <w:r>
              <w:rPr>
                <w:rFonts w:ascii="Aptos" w:hAnsi="Aptos"/>
                <w:b w:val="0"/>
                <w:i w:val="0"/>
                <w:color w:val="1F2933"/>
                <w:sz w:val="17"/>
              </w:rPr>
              <w:t>P/E ratio</w:t>
            </w:r>
          </w:p>
        </w:tc>
        <w:tc>
          <w:tcPr>
            <w:tcW w:type="dxa" w:w="6760"/>
            <w:tcMar>
              <w:top w:w="100" w:type="dxa"/>
              <w:start w:w="120" w:type="dxa"/>
              <w:bottom w:w="100" w:type="dxa"/>
              <w:end w:w="120" w:type="dxa"/>
            </w:tcMar>
            <w:vAlign w:val="center"/>
          </w:tcPr>
          <w:p>
            <w:pPr>
              <w:spacing w:after="0"/>
            </w:pPr>
            <w:r>
              <w:rPr>
                <w:rFonts w:ascii="Aptos" w:hAnsi="Aptos"/>
                <w:b w:val="0"/>
                <w:i w:val="0"/>
                <w:color w:val="1F2933"/>
                <w:sz w:val="17"/>
              </w:rPr>
              <w:t>Share price divided by earnings per share.</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SOURCE CHECK  </w:t>
            </w:r>
            <w:r>
              <w:rPr>
                <w:rFonts w:ascii="Aptos" w:hAnsi="Aptos"/>
                <w:b w:val="0"/>
                <w:i w:val="0"/>
                <w:color w:val="1F2933"/>
                <w:sz w:val="20"/>
              </w:rPr>
              <w:t>Quotes can be delayed and definitions can vary. Record the source, date, time, and whether the price is real-time or delayed.</w:t>
            </w:r>
          </w:p>
        </w:tc>
      </w:tr>
    </w:tbl>
    <w:p>
      <w:pPr>
        <w:spacing w:after="0"/>
      </w:pPr>
    </w:p>
    <w:p>
      <w:pPr>
        <w:spacing w:before="0" w:after="0" w:line="20" w:lineRule="exact"/>
      </w:pPr>
      <w:r>
        <w:rPr>
          <w:rFonts w:ascii="Aptos" w:hAnsi="Aptos"/>
          <w:b w:val="0"/>
          <w:i w:val="0"/>
          <w:color w:val="1F2933"/>
          <w:sz w:val="2"/>
        </w:rPr>
        <w:br w:type="page"/>
      </w:r>
    </w:p>
    <w:p>
      <w:pPr>
        <w:pStyle w:val="Heading1"/>
      </w:pPr>
      <w:r>
        <w:t>Part 1 - Read the Fictional Quote</w:t>
      </w:r>
    </w:p>
    <w:tbl>
      <w:tblPr>
        <w:tblStyle w:val="TableGrid"/>
        <w:tblW w:type="dxa" w:w="9360"/>
        <w:jc w:val="center"/>
        <w:tblLayout w:type="fixed"/>
        <w:tblLook w:firstColumn="1" w:firstRow="1" w:lastColumn="0" w:lastRow="0" w:noHBand="0" w:noVBand="1" w:val="04A0"/>
        <w:tblInd w:w="120" w:type="dxa"/>
      </w:tblPr>
      <w:tblGrid>
        <w:gridCol w:w="2200"/>
        <w:gridCol w:w="1800"/>
        <w:gridCol w:w="2900"/>
        <w:gridCol w:w="2460"/>
      </w:tblGrid>
      <w:tr>
        <w:trPr>
          <w:tblHeader w:val="true"/>
        </w:trPr>
        <w:tc>
          <w:tcPr>
            <w:tcW w:type="dxa" w:w="2200"/>
            <w:shd w:fill="163A63"/>
            <w:tcMar>
              <w:top w:w="100" w:type="dxa"/>
              <w:start w:w="120" w:type="dxa"/>
              <w:bottom w:w="100" w:type="dxa"/>
              <w:end w:w="120" w:type="dxa"/>
            </w:tcMar>
            <w:vAlign w:val="center"/>
          </w:tcPr>
          <w:p>
            <w:pPr>
              <w:spacing w:after="0"/>
            </w:pPr>
            <w:r>
              <w:rPr>
                <w:rFonts w:ascii="Aptos" w:hAnsi="Aptos"/>
                <w:b/>
                <w:i w:val="0"/>
                <w:color w:val="FFFFFF"/>
                <w:sz w:val="16"/>
              </w:rPr>
              <w:t>Quote item</w:t>
            </w:r>
          </w:p>
        </w:tc>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Value</w:t>
            </w:r>
          </w:p>
        </w:tc>
        <w:tc>
          <w:tcPr>
            <w:tcW w:type="dxa" w:w="2900"/>
            <w:shd w:fill="163A63"/>
            <w:tcMar>
              <w:top w:w="100" w:type="dxa"/>
              <w:start w:w="120" w:type="dxa"/>
              <w:bottom w:w="100" w:type="dxa"/>
              <w:end w:w="120" w:type="dxa"/>
            </w:tcMar>
            <w:vAlign w:val="center"/>
          </w:tcPr>
          <w:p>
            <w:pPr>
              <w:spacing w:after="0"/>
            </w:pPr>
            <w:r>
              <w:rPr>
                <w:rFonts w:ascii="Aptos" w:hAnsi="Aptos"/>
                <w:b/>
                <w:i w:val="0"/>
                <w:color w:val="FFFFFF"/>
                <w:sz w:val="16"/>
              </w:rPr>
              <w:t>What it tells me</w:t>
            </w:r>
          </w:p>
        </w:tc>
        <w:tc>
          <w:tcPr>
            <w:tcW w:type="dxa" w:w="2460"/>
            <w:shd w:fill="163A63"/>
            <w:tcMar>
              <w:top w:w="100" w:type="dxa"/>
              <w:start w:w="120" w:type="dxa"/>
              <w:bottom w:w="100" w:type="dxa"/>
              <w:end w:w="120" w:type="dxa"/>
            </w:tcMar>
            <w:vAlign w:val="center"/>
          </w:tcPr>
          <w:p>
            <w:pPr>
              <w:spacing w:after="0"/>
            </w:pPr>
            <w:r>
              <w:rPr>
                <w:rFonts w:ascii="Aptos" w:hAnsi="Aptos"/>
                <w:b/>
                <w:i w:val="0"/>
                <w:color w:val="FFFFFF"/>
                <w:sz w:val="16"/>
              </w:rPr>
              <w:t>Question or caution</w:t>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Ticker</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NBIK</w:t>
            </w:r>
          </w:p>
        </w:tc>
        <w:tc>
          <w:tcPr>
            <w:tcW w:type="dxa" w:w="2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Current price</w:t>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t>$44.80</w:t>
            </w:r>
          </w:p>
        </w:tc>
        <w:tc>
          <w:tcPr>
            <w:tcW w:type="dxa" w:w="2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Previous close</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$42.50</w:t>
            </w:r>
          </w:p>
        </w:tc>
        <w:tc>
          <w:tcPr>
            <w:tcW w:type="dxa" w:w="2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Open</w:t>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t>$43.00</w:t>
            </w:r>
          </w:p>
        </w:tc>
        <w:tc>
          <w:tcPr>
            <w:tcW w:type="dxa" w:w="2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Day range</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$42.80-$45.20</w:t>
            </w:r>
          </w:p>
        </w:tc>
        <w:tc>
          <w:tcPr>
            <w:tcW w:type="dxa" w:w="2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Volume</w:t>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t>1,250,000 shares</w:t>
            </w:r>
          </w:p>
        </w:tc>
        <w:tc>
          <w:tcPr>
            <w:tcW w:type="dxa" w:w="2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52-week range</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$31.40-$47.60</w:t>
            </w:r>
          </w:p>
        </w:tc>
        <w:tc>
          <w:tcPr>
            <w:tcW w:type="dxa" w:w="2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6"/>
              </w:rPr>
              <w:t>EPS</w:t>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t>$2.80</w:t>
            </w:r>
          </w:p>
        </w:tc>
        <w:tc>
          <w:tcPr>
            <w:tcW w:type="dxa" w:w="2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200"/>
            <w:tcMar>
              <w:top w:w="100" w:type="dxa"/>
              <w:start w:w="120" w:type="dxa"/>
              <w:bottom w:w="100" w:type="dxa"/>
              <w:end w:w="120" w:type="dxa"/>
            </w:tcMar>
            <w:vAlign w:val="center"/>
          </w:tcPr>
          <w:p>
            <w:pPr>
              <w:spacing w:after="0"/>
            </w:pPr>
            <w:r>
              <w:rPr>
                <w:rFonts w:ascii="Aptos" w:hAnsi="Aptos"/>
                <w:b w:val="0"/>
                <w:i w:val="0"/>
                <w:color w:val="1F2933"/>
                <w:sz w:val="16"/>
              </w:rPr>
              <w:t>P/E ratio</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16.0</w:t>
            </w:r>
          </w:p>
        </w:tc>
        <w:tc>
          <w:tcPr>
            <w:tcW w:type="dxa" w:w="2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tcMar>
              <w:top w:w="100" w:type="dxa"/>
              <w:start w:w="120" w:type="dxa"/>
              <w:bottom w:w="100" w:type="dxa"/>
              <w:end w:w="120" w:type="dxa"/>
            </w:tcMar>
            <w:vAlign w:val="center"/>
          </w:tcPr>
          <w:p>
            <w:pPr>
              <w:spacing w:after="0"/>
            </w:pPr>
            <w:r>
              <w:rPr>
                <w:rFonts w:ascii="Aptos" w:hAnsi="Aptos"/>
                <w:b w:val="0"/>
                <w:i w:val="0"/>
                <w:color w:val="1F2933"/>
                <w:sz w:val="16"/>
              </w:rPr>
            </w:r>
          </w:p>
        </w:tc>
      </w:tr>
    </w:tbl>
    <w:p>
      <w:r>
        <w:t>Identify the current price, day high, day low, and one-year high. Which number describes trading activity rather than price?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Calculate Price Movement</w:t>
      </w:r>
    </w:p>
    <w:tbl>
      <w:tblPr>
        <w:tblStyle w:val="TableGrid"/>
        <w:tblW w:type="dxa" w:w="9360"/>
        <w:jc w:val="center"/>
        <w:tblLayout w:type="fixed"/>
        <w:tblLook w:firstColumn="1" w:firstRow="1" w:lastColumn="0" w:lastRow="0" w:noHBand="0" w:noVBand="1" w:val="04A0"/>
        <w:tblInd w:w="120" w:type="dxa"/>
      </w:tblPr>
      <w:tblGrid>
        <w:gridCol w:w="3700"/>
        <w:gridCol w:w="3300"/>
        <w:gridCol w:w="2360"/>
      </w:tblGrid>
      <w:tr>
        <w:trPr>
          <w:tblHeader w:val="true"/>
        </w:trPr>
        <w:tc>
          <w:tcPr>
            <w:tcW w:type="dxa" w:w="3700"/>
            <w:shd w:fill="163A63"/>
            <w:tcMar>
              <w:top w:w="100" w:type="dxa"/>
              <w:start w:w="120" w:type="dxa"/>
              <w:bottom w:w="100" w:type="dxa"/>
              <w:end w:w="120" w:type="dxa"/>
            </w:tcMar>
            <w:vAlign w:val="center"/>
          </w:tcPr>
          <w:p>
            <w:pPr>
              <w:spacing w:after="0"/>
            </w:pPr>
            <w:r>
              <w:rPr>
                <w:rFonts w:ascii="Aptos" w:hAnsi="Aptos"/>
                <w:b/>
                <w:i w:val="0"/>
                <w:color w:val="FFFFFF"/>
                <w:sz w:val="16"/>
              </w:rPr>
              <w:t>Measure</w:t>
            </w:r>
          </w:p>
        </w:tc>
        <w:tc>
          <w:tcPr>
            <w:tcW w:type="dxa" w:w="3300"/>
            <w:shd w:fill="163A63"/>
            <w:tcMar>
              <w:top w:w="100" w:type="dxa"/>
              <w:start w:w="120" w:type="dxa"/>
              <w:bottom w:w="100" w:type="dxa"/>
              <w:end w:w="120" w:type="dxa"/>
            </w:tcMar>
            <w:vAlign w:val="center"/>
          </w:tcPr>
          <w:p>
            <w:pPr>
              <w:spacing w:after="0"/>
            </w:pPr>
            <w:r>
              <w:rPr>
                <w:rFonts w:ascii="Aptos" w:hAnsi="Aptos"/>
                <w:b/>
                <w:i w:val="0"/>
                <w:color w:val="FFFFFF"/>
                <w:sz w:val="16"/>
              </w:rPr>
              <w:t>Calculation</w:t>
            </w:r>
          </w:p>
        </w:tc>
        <w:tc>
          <w:tcPr>
            <w:tcW w:type="dxa" w:w="2360"/>
            <w:shd w:fill="163A63"/>
            <w:tcMar>
              <w:top w:w="100" w:type="dxa"/>
              <w:start w:w="120" w:type="dxa"/>
              <w:bottom w:w="100" w:type="dxa"/>
              <w:end w:w="120" w:type="dxa"/>
            </w:tcMar>
            <w:vAlign w:val="center"/>
          </w:tcPr>
          <w:p>
            <w:pPr>
              <w:spacing w:after="0"/>
            </w:pPr>
            <w:r>
              <w:rPr>
                <w:rFonts w:ascii="Aptos" w:hAnsi="Aptos"/>
                <w:b/>
                <w:i w:val="0"/>
                <w:color w:val="FFFFFF"/>
                <w:sz w:val="16"/>
              </w:rPr>
              <w:t>Answer</w:t>
            </w:r>
          </w:p>
        </w:tc>
      </w:tr>
      <w:tr>
        <w:tc>
          <w:tcPr>
            <w:tcW w:type="dxa" w:w="3700"/>
            <w:tcMar>
              <w:top w:w="100" w:type="dxa"/>
              <w:start w:w="120" w:type="dxa"/>
              <w:bottom w:w="100" w:type="dxa"/>
              <w:end w:w="120" w:type="dxa"/>
            </w:tcMar>
            <w:vAlign w:val="center"/>
          </w:tcPr>
          <w:p>
            <w:pPr>
              <w:spacing w:after="0"/>
            </w:pPr>
            <w:r>
              <w:rPr>
                <w:rFonts w:ascii="Aptos" w:hAnsi="Aptos"/>
                <w:b w:val="0"/>
                <w:i w:val="0"/>
                <w:color w:val="1F2933"/>
                <w:sz w:val="16"/>
              </w:rPr>
              <w:t>Dollar change from previous close</w:t>
            </w:r>
          </w:p>
        </w:tc>
        <w:tc>
          <w:tcPr>
            <w:tcW w:type="dxa" w:w="3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shd w:fill="F4F6F8"/>
            <w:tcMar>
              <w:top w:w="100" w:type="dxa"/>
              <w:start w:w="120" w:type="dxa"/>
              <w:bottom w:w="100" w:type="dxa"/>
              <w:end w:w="120" w:type="dxa"/>
            </w:tcMar>
            <w:vAlign w:val="center"/>
          </w:tcPr>
          <w:p>
            <w:pPr>
              <w:spacing w:after="0"/>
            </w:pPr>
            <w:r>
              <w:rPr>
                <w:rFonts w:ascii="Aptos" w:hAnsi="Aptos"/>
                <w:b w:val="0"/>
                <w:i w:val="0"/>
                <w:color w:val="1F2933"/>
                <w:sz w:val="16"/>
              </w:rPr>
              <w:t>Percent change from previous close</w:t>
            </w:r>
          </w:p>
        </w:tc>
        <w:tc>
          <w:tcPr>
            <w:tcW w:type="dxa" w:w="3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tcMar>
              <w:top w:w="100" w:type="dxa"/>
              <w:start w:w="120" w:type="dxa"/>
              <w:bottom w:w="100" w:type="dxa"/>
              <w:end w:w="120" w:type="dxa"/>
            </w:tcMar>
            <w:vAlign w:val="center"/>
          </w:tcPr>
          <w:p>
            <w:pPr>
              <w:spacing w:after="0"/>
            </w:pPr>
            <w:r>
              <w:rPr>
                <w:rFonts w:ascii="Aptos" w:hAnsi="Aptos"/>
                <w:b w:val="0"/>
                <w:i w:val="0"/>
                <w:color w:val="1F2933"/>
                <w:sz w:val="16"/>
              </w:rPr>
              <w:t>Distance below day high</w:t>
            </w:r>
          </w:p>
        </w:tc>
        <w:tc>
          <w:tcPr>
            <w:tcW w:type="dxa" w:w="3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shd w:fill="F4F6F8"/>
            <w:tcMar>
              <w:top w:w="100" w:type="dxa"/>
              <w:start w:w="120" w:type="dxa"/>
              <w:bottom w:w="100" w:type="dxa"/>
              <w:end w:w="120" w:type="dxa"/>
            </w:tcMar>
            <w:vAlign w:val="center"/>
          </w:tcPr>
          <w:p>
            <w:pPr>
              <w:spacing w:after="0"/>
            </w:pPr>
            <w:r>
              <w:rPr>
                <w:rFonts w:ascii="Aptos" w:hAnsi="Aptos"/>
                <w:b w:val="0"/>
                <w:i w:val="0"/>
                <w:color w:val="1F2933"/>
                <w:sz w:val="16"/>
              </w:rPr>
              <w:t>Distance below 52-week high</w:t>
            </w:r>
          </w:p>
        </w:tc>
        <w:tc>
          <w:tcPr>
            <w:tcW w:type="dxa" w:w="3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tcMar>
              <w:top w:w="100" w:type="dxa"/>
              <w:start w:w="120" w:type="dxa"/>
              <w:bottom w:w="100" w:type="dxa"/>
              <w:end w:w="120" w:type="dxa"/>
            </w:tcMar>
            <w:vAlign w:val="center"/>
          </w:tcPr>
          <w:p>
            <w:pPr>
              <w:spacing w:after="0"/>
            </w:pPr>
            <w:r>
              <w:rPr>
                <w:rFonts w:ascii="Aptos" w:hAnsi="Aptos"/>
                <w:b w:val="0"/>
                <w:i w:val="0"/>
                <w:color w:val="1F2933"/>
                <w:sz w:val="16"/>
              </w:rPr>
              <w:t>P/E check using price / EPS</w:t>
            </w:r>
          </w:p>
        </w:tc>
        <w:tc>
          <w:tcPr>
            <w:tcW w:type="dxa" w:w="3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60"/>
            <w:tcMar>
              <w:top w:w="100" w:type="dxa"/>
              <w:start w:w="120" w:type="dxa"/>
              <w:bottom w:w="100" w:type="dxa"/>
              <w:end w:w="120" w:type="dxa"/>
            </w:tcMar>
            <w:vAlign w:val="center"/>
          </w:tcPr>
          <w:p>
            <w:pPr>
              <w:spacing w:after="0"/>
            </w:pPr>
            <w:r>
              <w:rPr>
                <w:rFonts w:ascii="Aptos" w:hAnsi="Aptos"/>
                <w:b w:val="0"/>
                <w:i w:val="0"/>
                <w:color w:val="1F2933"/>
                <w:sz w:val="16"/>
              </w:rPr>
            </w:r>
          </w:p>
        </w:tc>
      </w:tr>
    </w:tbl>
    <w:p>
      <w:r>
        <w:t>Use current price - previous close for dollar change. Divide dollar change by previous close for percent change. Round percentages to one decimal place.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Calculate an Investor’s Total Return</w:t>
      </w:r>
    </w:p>
    <w:p>
      <w:r>
        <w:t>Morgan bought 25 fictional NBIK shares at $40 per share. The shares are now $44.80. Morgan received $15 in total dividends.</w:t>
      </w:r>
    </w:p>
    <w:tbl>
      <w:tblPr>
        <w:tblStyle w:val="TableGrid"/>
        <w:tblW w:type="dxa" w:w="9360"/>
        <w:jc w:val="center"/>
        <w:tblLayout w:type="fixed"/>
        <w:tblLook w:firstColumn="1" w:firstRow="1" w:lastColumn="0" w:lastRow="0" w:noHBand="0" w:noVBand="1" w:val="04A0"/>
        <w:tblInd w:w="120" w:type="dxa"/>
      </w:tblPr>
      <w:tblGrid>
        <w:gridCol w:w="3700"/>
        <w:gridCol w:w="3300"/>
        <w:gridCol w:w="2360"/>
      </w:tblGrid>
      <w:tr>
        <w:trPr>
          <w:tblHeader w:val="true"/>
        </w:trPr>
        <w:tc>
          <w:tcPr>
            <w:tcW w:type="dxa" w:w="3700"/>
            <w:shd w:fill="163A63"/>
            <w:tcMar>
              <w:top w:w="100" w:type="dxa"/>
              <w:start w:w="120" w:type="dxa"/>
              <w:bottom w:w="100" w:type="dxa"/>
              <w:end w:w="120" w:type="dxa"/>
            </w:tcMar>
            <w:vAlign w:val="center"/>
          </w:tcPr>
          <w:p>
            <w:pPr>
              <w:spacing w:after="0"/>
            </w:pPr>
            <w:r>
              <w:rPr>
                <w:rFonts w:ascii="Aptos" w:hAnsi="Aptos"/>
                <w:b/>
                <w:i w:val="0"/>
                <w:color w:val="FFFFFF"/>
                <w:sz w:val="16"/>
              </w:rPr>
              <w:t>Measure</w:t>
            </w:r>
          </w:p>
        </w:tc>
        <w:tc>
          <w:tcPr>
            <w:tcW w:type="dxa" w:w="3300"/>
            <w:shd w:fill="163A63"/>
            <w:tcMar>
              <w:top w:w="100" w:type="dxa"/>
              <w:start w:w="120" w:type="dxa"/>
              <w:bottom w:w="100" w:type="dxa"/>
              <w:end w:w="120" w:type="dxa"/>
            </w:tcMar>
            <w:vAlign w:val="center"/>
          </w:tcPr>
          <w:p>
            <w:pPr>
              <w:spacing w:after="0"/>
            </w:pPr>
            <w:r>
              <w:rPr>
                <w:rFonts w:ascii="Aptos" w:hAnsi="Aptos"/>
                <w:b/>
                <w:i w:val="0"/>
                <w:color w:val="FFFFFF"/>
                <w:sz w:val="16"/>
              </w:rPr>
              <w:t>Calculation</w:t>
            </w:r>
          </w:p>
        </w:tc>
        <w:tc>
          <w:tcPr>
            <w:tcW w:type="dxa" w:w="2360"/>
            <w:shd w:fill="163A63"/>
            <w:tcMar>
              <w:top w:w="100" w:type="dxa"/>
              <w:start w:w="120" w:type="dxa"/>
              <w:bottom w:w="100" w:type="dxa"/>
              <w:end w:w="120" w:type="dxa"/>
            </w:tcMar>
            <w:vAlign w:val="center"/>
          </w:tcPr>
          <w:p>
            <w:pPr>
              <w:spacing w:after="0"/>
            </w:pPr>
            <w:r>
              <w:rPr>
                <w:rFonts w:ascii="Aptos" w:hAnsi="Aptos"/>
                <w:b/>
                <w:i w:val="0"/>
                <w:color w:val="FFFFFF"/>
                <w:sz w:val="16"/>
              </w:rPr>
              <w:t>Answer</w:t>
            </w:r>
          </w:p>
        </w:tc>
      </w:tr>
      <w:tr>
        <w:tc>
          <w:tcPr>
            <w:tcW w:type="dxa" w:w="3700"/>
            <w:tcMar>
              <w:top w:w="100" w:type="dxa"/>
              <w:start w:w="120" w:type="dxa"/>
              <w:bottom w:w="100" w:type="dxa"/>
              <w:end w:w="120" w:type="dxa"/>
            </w:tcMar>
            <w:vAlign w:val="center"/>
          </w:tcPr>
          <w:p>
            <w:pPr>
              <w:spacing w:after="0"/>
            </w:pPr>
            <w:r>
              <w:rPr>
                <w:rFonts w:ascii="Aptos" w:hAnsi="Aptos"/>
                <w:b w:val="0"/>
                <w:i w:val="0"/>
                <w:color w:val="1F2933"/>
                <w:sz w:val="16"/>
              </w:rPr>
              <w:t>Original cost</w:t>
            </w:r>
          </w:p>
        </w:tc>
        <w:tc>
          <w:tcPr>
            <w:tcW w:type="dxa" w:w="3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shd w:fill="F4F6F8"/>
            <w:tcMar>
              <w:top w:w="100" w:type="dxa"/>
              <w:start w:w="120" w:type="dxa"/>
              <w:bottom w:w="100" w:type="dxa"/>
              <w:end w:w="120" w:type="dxa"/>
            </w:tcMar>
            <w:vAlign w:val="center"/>
          </w:tcPr>
          <w:p>
            <w:pPr>
              <w:spacing w:after="0"/>
            </w:pPr>
            <w:r>
              <w:rPr>
                <w:rFonts w:ascii="Aptos" w:hAnsi="Aptos"/>
                <w:b w:val="0"/>
                <w:i w:val="0"/>
                <w:color w:val="1F2933"/>
                <w:sz w:val="16"/>
              </w:rPr>
              <w:t>Current market value</w:t>
            </w:r>
          </w:p>
        </w:tc>
        <w:tc>
          <w:tcPr>
            <w:tcW w:type="dxa" w:w="3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tcMar>
              <w:top w:w="100" w:type="dxa"/>
              <w:start w:w="120" w:type="dxa"/>
              <w:bottom w:w="100" w:type="dxa"/>
              <w:end w:w="120" w:type="dxa"/>
            </w:tcMar>
            <w:vAlign w:val="center"/>
          </w:tcPr>
          <w:p>
            <w:pPr>
              <w:spacing w:after="0"/>
            </w:pPr>
            <w:r>
              <w:rPr>
                <w:rFonts w:ascii="Aptos" w:hAnsi="Aptos"/>
                <w:b w:val="0"/>
                <w:i w:val="0"/>
                <w:color w:val="1F2933"/>
                <w:sz w:val="16"/>
              </w:rPr>
              <w:t>Price gain</w:t>
            </w:r>
          </w:p>
        </w:tc>
        <w:tc>
          <w:tcPr>
            <w:tcW w:type="dxa" w:w="3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shd w:fill="F4F6F8"/>
            <w:tcMar>
              <w:top w:w="100" w:type="dxa"/>
              <w:start w:w="120" w:type="dxa"/>
              <w:bottom w:w="100" w:type="dxa"/>
              <w:end w:w="120" w:type="dxa"/>
            </w:tcMar>
            <w:vAlign w:val="center"/>
          </w:tcPr>
          <w:p>
            <w:pPr>
              <w:spacing w:after="0"/>
            </w:pPr>
            <w:r>
              <w:rPr>
                <w:rFonts w:ascii="Aptos" w:hAnsi="Aptos"/>
                <w:b w:val="0"/>
                <w:i w:val="0"/>
                <w:color w:val="1F2933"/>
                <w:sz w:val="16"/>
              </w:rPr>
              <w:t>Dividend income</w:t>
            </w:r>
          </w:p>
        </w:tc>
        <w:tc>
          <w:tcPr>
            <w:tcW w:type="dxa" w:w="3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tcMar>
              <w:top w:w="100" w:type="dxa"/>
              <w:start w:w="120" w:type="dxa"/>
              <w:bottom w:w="100" w:type="dxa"/>
              <w:end w:w="120" w:type="dxa"/>
            </w:tcMar>
            <w:vAlign w:val="center"/>
          </w:tcPr>
          <w:p>
            <w:pPr>
              <w:spacing w:after="0"/>
            </w:pPr>
            <w:r>
              <w:rPr>
                <w:rFonts w:ascii="Aptos" w:hAnsi="Aptos"/>
                <w:b w:val="0"/>
                <w:i w:val="0"/>
                <w:color w:val="1F2933"/>
                <w:sz w:val="16"/>
              </w:rPr>
              <w:t>Total gain</w:t>
            </w:r>
          </w:p>
        </w:tc>
        <w:tc>
          <w:tcPr>
            <w:tcW w:type="dxa" w:w="3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700"/>
            <w:shd w:fill="F4F6F8"/>
            <w:tcMar>
              <w:top w:w="100" w:type="dxa"/>
              <w:start w:w="120" w:type="dxa"/>
              <w:bottom w:w="100" w:type="dxa"/>
              <w:end w:w="120" w:type="dxa"/>
            </w:tcMar>
            <w:vAlign w:val="center"/>
          </w:tcPr>
          <w:p>
            <w:pPr>
              <w:spacing w:after="0"/>
            </w:pPr>
            <w:r>
              <w:rPr>
                <w:rFonts w:ascii="Aptos" w:hAnsi="Aptos"/>
                <w:b w:val="0"/>
                <w:i w:val="0"/>
                <w:color w:val="1F2933"/>
                <w:sz w:val="16"/>
              </w:rPr>
              <w:t>Total return percentage</w:t>
            </w:r>
          </w:p>
        </w:tc>
        <w:tc>
          <w:tcPr>
            <w:tcW w:type="dxa" w:w="3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3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Use total gain = current value - original cost + dividends. Total return = total gain / original cost x 100.</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Decide What the Quote Cannot Prove</w:t>
      </w:r>
    </w:p>
    <w:tbl>
      <w:tblPr>
        <w:tblStyle w:val="TableGrid"/>
        <w:tblW w:type="dxa" w:w="9360"/>
        <w:jc w:val="center"/>
        <w:tblLayout w:type="fixed"/>
        <w:tblLook w:firstColumn="1" w:firstRow="1" w:lastColumn="0" w:lastRow="0" w:noHBand="0" w:noVBand="1" w:val="04A0"/>
        <w:tblInd w:w="120" w:type="dxa"/>
      </w:tblPr>
      <w:tblGrid>
        <w:gridCol w:w="3900"/>
        <w:gridCol w:w="3000"/>
        <w:gridCol w:w="2460"/>
      </w:tblGrid>
      <w:tr>
        <w:trPr>
          <w:tblHeader w:val="true"/>
        </w:trPr>
        <w:tc>
          <w:tcPr>
            <w:tcW w:type="dxa" w:w="3900"/>
            <w:shd w:fill="163A63"/>
            <w:tcMar>
              <w:top w:w="100" w:type="dxa"/>
              <w:start w:w="120" w:type="dxa"/>
              <w:bottom w:w="100" w:type="dxa"/>
              <w:end w:w="120" w:type="dxa"/>
            </w:tcMar>
            <w:vAlign w:val="center"/>
          </w:tcPr>
          <w:p>
            <w:pPr>
              <w:spacing w:after="0"/>
            </w:pPr>
            <w:r>
              <w:rPr>
                <w:rFonts w:ascii="Aptos" w:hAnsi="Aptos"/>
                <w:b/>
                <w:i w:val="0"/>
                <w:color w:val="FFFFFF"/>
                <w:sz w:val="16"/>
              </w:rPr>
              <w:t>Claim</w:t>
            </w:r>
          </w:p>
        </w:tc>
        <w:tc>
          <w:tcPr>
            <w:tcW w:type="dxa" w:w="3000"/>
            <w:shd w:fill="163A63"/>
            <w:tcMar>
              <w:top w:w="100" w:type="dxa"/>
              <w:start w:w="120" w:type="dxa"/>
              <w:bottom w:w="100" w:type="dxa"/>
              <w:end w:w="120" w:type="dxa"/>
            </w:tcMar>
            <w:vAlign w:val="center"/>
          </w:tcPr>
          <w:p>
            <w:pPr>
              <w:spacing w:after="0"/>
            </w:pPr>
            <w:r>
              <w:rPr>
                <w:rFonts w:ascii="Aptos" w:hAnsi="Aptos"/>
                <w:b/>
                <w:i w:val="0"/>
                <w:color w:val="FFFFFF"/>
                <w:sz w:val="16"/>
              </w:rPr>
              <w:t>Supported, unsupported, or needs more research?</w:t>
            </w:r>
          </w:p>
        </w:tc>
        <w:tc>
          <w:tcPr>
            <w:tcW w:type="dxa" w:w="2460"/>
            <w:shd w:fill="163A63"/>
            <w:tcMar>
              <w:top w:w="100" w:type="dxa"/>
              <w:start w:w="120" w:type="dxa"/>
              <w:bottom w:w="100" w:type="dxa"/>
              <w:end w:w="120" w:type="dxa"/>
            </w:tcMar>
            <w:vAlign w:val="center"/>
          </w:tcPr>
          <w:p>
            <w:pPr>
              <w:spacing w:after="0"/>
            </w:pPr>
            <w:r>
              <w:rPr>
                <w:rFonts w:ascii="Aptos" w:hAnsi="Aptos"/>
                <w:b/>
                <w:i w:val="0"/>
                <w:color w:val="FFFFFF"/>
                <w:sz w:val="16"/>
              </w:rPr>
              <w:t>Evidence or next source</w:t>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6"/>
              </w:rPr>
              <w:t>The stock rose today.</w:t>
            </w:r>
          </w:p>
        </w:tc>
        <w:tc>
          <w:tcPr>
            <w:tcW w:type="dxa" w:w="30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6"/>
              </w:rPr>
              <w:t>The company will keep growing.</w:t>
            </w:r>
          </w:p>
        </w:tc>
        <w:tc>
          <w:tcPr>
            <w:tcW w:type="dxa" w:w="30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6"/>
              </w:rPr>
              <w:t>The current P/E equals price divided by EPS.</w:t>
            </w:r>
          </w:p>
        </w:tc>
        <w:tc>
          <w:tcPr>
            <w:tcW w:type="dxa" w:w="30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6"/>
              </w:rPr>
              <w:t>High volume means the stock is safe.</w:t>
            </w:r>
          </w:p>
        </w:tc>
        <w:tc>
          <w:tcPr>
            <w:tcW w:type="dxa" w:w="30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6"/>
              </w:rPr>
              <w:t>The stock fits Morgan’s goal.</w:t>
            </w:r>
          </w:p>
        </w:tc>
        <w:tc>
          <w:tcPr>
            <w:tcW w:type="dxa" w:w="30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tcMar>
              <w:top w:w="100" w:type="dxa"/>
              <w:start w:w="120" w:type="dxa"/>
              <w:bottom w:w="100" w:type="dxa"/>
              <w:end w:w="120" w:type="dxa"/>
            </w:tcMar>
            <w:vAlign w:val="center"/>
          </w:tcPr>
          <w:p>
            <w:pPr>
              <w:spacing w:after="0"/>
            </w:pPr>
            <w:r>
              <w:rPr>
                <w:rFonts w:ascii="Aptos" w:hAnsi="Aptos"/>
                <w:b w:val="0"/>
                <w:i w:val="0"/>
                <w:color w:val="1F2933"/>
                <w:sz w:val="16"/>
              </w:rPr>
            </w:r>
          </w:p>
        </w:tc>
      </w:tr>
    </w:tbl>
    <w:p>
      <w:r>
        <w:t>Correct every unsupported claim. Identify one company filing or other reliable source that could provide missing evidence.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Write a Stock Research Note</w:t>
      </w:r>
    </w:p>
    <w:tbl>
      <w:tblPr>
        <w:tblStyle w:val="TableGrid"/>
        <w:tblW w:type="dxa" w:w="9360"/>
        <w:jc w:val="center"/>
        <w:tblLayout w:type="fixed"/>
        <w:tblLook w:firstColumn="1" w:firstRow="1" w:lastColumn="0" w:lastRow="0" w:noHBand="0" w:noVBand="1" w:val="04A0"/>
        <w:tblInd w:w="120" w:type="dxa"/>
      </w:tblPr>
      <w:tblGrid>
        <w:gridCol w:w="3900"/>
        <w:gridCol w:w="5460"/>
      </w:tblGrid>
      <w:tr>
        <w:trPr>
          <w:tblHeader w:val="true"/>
        </w:trPr>
        <w:tc>
          <w:tcPr>
            <w:tcW w:type="dxa" w:w="3900"/>
            <w:shd w:fill="163A63"/>
            <w:tcMar>
              <w:top w:w="100" w:type="dxa"/>
              <w:start w:w="120" w:type="dxa"/>
              <w:bottom w:w="100" w:type="dxa"/>
              <w:end w:w="120" w:type="dxa"/>
            </w:tcMar>
            <w:vAlign w:val="center"/>
          </w:tcPr>
          <w:p>
            <w:pPr>
              <w:spacing w:after="0"/>
            </w:pPr>
            <w:r>
              <w:rPr>
                <w:rFonts w:ascii="Aptos" w:hAnsi="Aptos"/>
                <w:b/>
                <w:i w:val="0"/>
                <w:color w:val="FFFFFF"/>
                <w:sz w:val="17"/>
              </w:rPr>
              <w:t>Research check</w:t>
            </w:r>
          </w:p>
        </w:tc>
        <w:tc>
          <w:tcPr>
            <w:tcW w:type="dxa" w:w="5460"/>
            <w:shd w:fill="163A63"/>
            <w:tcMar>
              <w:top w:w="100" w:type="dxa"/>
              <w:start w:w="120" w:type="dxa"/>
              <w:bottom w:w="100" w:type="dxa"/>
              <w:end w:w="120" w:type="dxa"/>
            </w:tcMar>
            <w:vAlign w:val="center"/>
          </w:tcPr>
          <w:p>
            <w:pPr>
              <w:spacing w:after="0"/>
            </w:pPr>
            <w:r>
              <w:rPr>
                <w:rFonts w:ascii="Aptos" w:hAnsi="Aptos"/>
                <w:b/>
                <w:i w:val="0"/>
                <w:color w:val="FFFFFF"/>
                <w:sz w:val="17"/>
              </w:rPr>
              <w:t>My evidence</w:t>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Quote source and timestamp</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Current price and daily move</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52-week range</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Volume meaning</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Original cost and current value</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Dividend and total return</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7"/>
              </w:rPr>
              <w:t>Claim the quote cannot support</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7"/>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7"/>
              </w:rPr>
              <w:t>Next document to research</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7"/>
              </w:rPr>
            </w:r>
          </w:p>
        </w:tc>
      </w:tr>
    </w:tbl>
    <w:p>
      <w:r>
        <w:t>Write a 150-200 word research note. Include the daily percent change, Morgan’s total return, one limitation of the quote, and two next research steps.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