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tabs>
          <w:tab w:pos="7434" w:val="left"/>
        </w:tabs>
        <w:autoSpaceDE w:val="0"/>
        <w:widowControl/>
        <w:spacing w:line="246" w:lineRule="exact" w:before="26" w:after="0"/>
        <w:ind w:left="4350" w:right="0" w:firstLine="0"/>
        <w:jc w:val="left"/>
      </w:pPr>
      <w:r>
        <w:tab/>
      </w: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Activity Packet </w:t>
      </w:r>
      <w:r>
        <w:rPr>
          <w:rFonts w:ascii="Noto Serif" w:hAnsi="Noto Serif" w:eastAsia="Noto Serif"/>
          <w:b/>
          <w:i w:val="0"/>
          <w:color w:val="D3A72F"/>
          <w:sz w:val="18"/>
        </w:rPr>
        <w:t>STUDENT RESOURCE</w:t>
      </w:r>
    </w:p>
    <w:p>
      <w:pPr>
        <w:autoSpaceDN w:val="0"/>
        <w:autoSpaceDE w:val="0"/>
        <w:widowControl/>
        <w:spacing w:line="536" w:lineRule="exact" w:before="236" w:after="0"/>
        <w:ind w:left="2626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44"/>
        </w:rPr>
        <w:t>Professional Email Challenge</w:t>
      </w:r>
    </w:p>
    <w:p>
      <w:pPr>
        <w:autoSpaceDN w:val="0"/>
        <w:autoSpaceDE w:val="0"/>
        <w:widowControl/>
        <w:spacing w:line="272" w:lineRule="exact" w:before="402" w:after="240"/>
        <w:ind w:left="0" w:right="3058" w:firstLine="0"/>
        <w:jc w:val="right"/>
      </w:pPr>
      <w:r>
        <w:rPr>
          <w:rFonts w:ascii="Noto Serif" w:hAnsi="Noto Serif" w:eastAsia="Noto Serif"/>
          <w:b w:val="0"/>
          <w:i/>
          <w:color w:val="555A5F"/>
          <w:sz w:val="20"/>
        </w:rPr>
        <w:t>Career Readiness | Communication case study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9"/>
        <w:gridCol w:w="2629"/>
        <w:gridCol w:w="2629"/>
        <w:gridCol w:w="2629"/>
      </w:tblGrid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Name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Class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</w:tr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Date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Time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42–50 minutes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432"/>
        </w:trPr>
        <w:tc>
          <w:tcPr>
            <w:tcW w:type="dxa" w:w="10368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140" w:after="0"/>
              <w:ind w:left="142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123A63"/>
                <w:sz w:val="20"/>
              </w:rPr>
              <w:t>CASE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14"/>
        </w:trPr>
        <w:tc>
          <w:tcPr>
            <w:tcW w:type="dxa" w:w="1018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2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You missed a scheduled interview because you recorded the time incorrectly. You want to ask whether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668"/>
        </w:trPr>
        <w:tc>
          <w:tcPr>
            <w:tcW w:type="dxa" w:w="10368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14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the employer would consider rescheduling.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432"/>
        </w:trPr>
        <w:tc>
          <w:tcPr>
            <w:tcW w:type="dxa" w:w="10368"/>
            <w:tcBorders/>
            <w:shd w:fill="f6f8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140" w:after="0"/>
              <w:ind w:left="142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123A63"/>
                <w:sz w:val="20"/>
              </w:rPr>
              <w:t>WEAK DRAFT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52"/>
        </w:trPr>
        <w:tc>
          <w:tcPr>
            <w:tcW w:type="dxa" w:w="8780"/>
            <w:tcBorders/>
            <w:shd w:fill="f6f8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hey sorry i missed it. thought it was later. can u give me another time? thx</w:t>
            </w:r>
          </w:p>
        </w:tc>
      </w:tr>
    </w:tbl>
    <w:p>
      <w:pPr>
        <w:autoSpaceDN w:val="0"/>
        <w:autoSpaceDE w:val="0"/>
        <w:widowControl/>
        <w:spacing w:line="366" w:lineRule="exact" w:before="796" w:after="56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1 — Error Hunt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5258"/>
        <w:gridCol w:w="5258"/>
      </w:tblGrid>
      <w:tr>
        <w:trPr>
          <w:trHeight w:hRule="exact" w:val="280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Problem I found</w:t>
            </w:r>
          </w:p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Why it matters</w:t>
            </w:r>
          </w:p>
        </w:tc>
      </w:tr>
      <w:tr>
        <w:trPr>
          <w:trHeight w:hRule="exact" w:val="284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2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2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2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66" w:lineRule="exact" w:before="478" w:after="0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2 — Build the Structure</w:t>
      </w:r>
    </w:p>
    <w:p>
      <w:pPr>
        <w:autoSpaceDN w:val="0"/>
        <w:autoSpaceDE w:val="0"/>
        <w:widowControl/>
        <w:spacing w:line="272" w:lineRule="exact" w:before="54" w:after="0"/>
        <w:ind w:left="120" w:right="0" w:firstLine="0"/>
        <w:jc w:val="left"/>
      </w:pPr>
      <w:r>
        <w:rPr>
          <w:rFonts w:ascii="Noto Serif" w:hAnsi="Noto Serif" w:eastAsia="Noto Serif"/>
          <w:b/>
          <w:i w:val="0"/>
          <w:color w:val="243447"/>
          <w:sz w:val="20"/>
        </w:rPr>
        <w:t>Subject line:</w:t>
      </w:r>
    </w:p>
    <w:p>
      <w:pPr>
        <w:autoSpaceDN w:val="0"/>
        <w:autoSpaceDE w:val="0"/>
        <w:widowControl/>
        <w:spacing w:line="272" w:lineRule="exact" w:before="242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0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2" w:after="0"/>
        <w:ind w:left="120" w:right="0" w:firstLine="0"/>
        <w:jc w:val="left"/>
      </w:pPr>
      <w:r>
        <w:rPr>
          <w:rFonts w:ascii="Noto Serif" w:hAnsi="Noto Serif" w:eastAsia="Noto Serif"/>
          <w:b/>
          <w:i w:val="0"/>
          <w:color w:val="243447"/>
          <w:sz w:val="20"/>
        </w:rPr>
        <w:t>Greeting:</w:t>
      </w:r>
    </w:p>
    <w:p>
      <w:pPr>
        <w:autoSpaceDN w:val="0"/>
        <w:autoSpaceDE w:val="0"/>
        <w:widowControl/>
        <w:spacing w:line="272" w:lineRule="exact" w:before="240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2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0" w:after="0"/>
        <w:ind w:left="120" w:right="0" w:firstLine="0"/>
        <w:jc w:val="left"/>
      </w:pPr>
      <w:r>
        <w:rPr>
          <w:rFonts w:ascii="Noto Serif" w:hAnsi="Noto Serif" w:eastAsia="Noto Serif"/>
          <w:b/>
          <w:i w:val="0"/>
          <w:color w:val="243447"/>
          <w:sz w:val="20"/>
        </w:rPr>
        <w:t>Acknowledgment + concise apology:</w:t>
      </w:r>
    </w:p>
    <w:p>
      <w:pPr>
        <w:autoSpaceDN w:val="0"/>
        <w:autoSpaceDE w:val="0"/>
        <w:widowControl/>
        <w:spacing w:line="272" w:lineRule="exact" w:before="242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0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308" w:after="0"/>
        <w:ind w:left="0" w:right="2716" w:firstLine="0"/>
        <w:jc w:val="right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1</w:t>
      </w:r>
    </w:p>
    <w:p>
      <w:pPr>
        <w:sectPr>
          <w:headerReference w:type="default" r:id="rId9"/>
          <w:headerReference w:type="first" r:id="rId10"/>
          <w:headerReference w:type="even" r:id="rId11"/>
          <w:footerReference w:type="default" r:id="rId12"/>
          <w:footerReference w:type="first" r:id="rId13"/>
          <w:footerReference w:type="even" r:id="rId14"/>
          <w:pgSz w:w="12240" w:h="15840"/>
          <w:pgMar w:top="360" w:right="906" w:bottom="360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464" w:lineRule="exact" w:before="0" w:after="0"/>
        <w:ind w:left="0" w:right="0" w:firstLine="7314"/>
        <w:jc w:val="lef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Activity Packet </w:t>
      </w:r>
      <w:r>
        <w:rPr>
          <w:rFonts w:ascii="Noto Serif" w:hAnsi="Noto Serif" w:eastAsia="Noto Serif"/>
          <w:b/>
          <w:i w:val="0"/>
          <w:color w:val="243447"/>
          <w:sz w:val="20"/>
        </w:rPr>
        <w:t xml:space="preserve">Request to reschedule: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/>
          <w:i w:val="0"/>
          <w:color w:val="243447"/>
          <w:sz w:val="20"/>
        </w:rPr>
        <w:t xml:space="preserve">Two availability windows: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/>
          <w:i w:val="0"/>
          <w:color w:val="243447"/>
          <w:sz w:val="20"/>
        </w:rPr>
        <w:t xml:space="preserve">Appreciation + full-name closing: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494" w:lineRule="exact" w:before="392" w:after="0"/>
        <w:ind w:left="0" w:right="302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3 — Final Email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476" w:lineRule="exact" w:before="410" w:after="0"/>
        <w:ind w:left="0" w:right="302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Reflection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Why is taking responsibility usually stronger than giving a long explanation?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384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2</w:t>
      </w:r>
    </w:p>
    <w:sectPr w:rsidR="00FC693F" w:rsidRPr="0006063C" w:rsidSect="00034616">
      <w:pgSz w:w="12240" w:h="15840"/>
      <w:pgMar w:top="360" w:right="914" w:bottom="360" w:left="93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