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SAVING AND PREPARING FOR FUTURE COSTS</w:t>
      </w:r>
    </w:p>
    <w:p>
      <w:pPr>
        <w:pStyle w:val="Title"/>
      </w:pPr>
      <w:r>
        <w:t>Planning for Irregular Expenses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12-month savings calendar</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Some costs do not happen every month, but they are still predictable. Turn six upcoming costs into small monthly savings amounts and build a calendar that prevents a surprise shortage.</w:t>
            </w:r>
          </w:p>
        </w:tc>
      </w:tr>
    </w:tbl>
    <w:p>
      <w:pPr>
        <w:spacing w:after="0"/>
      </w:pPr>
    </w:p>
    <w:p>
      <w:pPr>
        <w:pStyle w:val="Heading1"/>
      </w:pPr>
      <w:r>
        <w:t>Known Costs Can Still Cause Trouble</w:t>
      </w:r>
    </w:p>
    <w:p>
      <w:r>
        <w:t>An irregular expense is a cost that does not happen every month. Examples include school supplies, yearly fees, gifts, and seasonal clothing. If the cost and date are known, you can divide the total into smaller deposits before it is due.</w:t>
      </w:r>
    </w:p>
    <w:tbl>
      <w:tblPr>
        <w:tblStyle w:val="TableGrid"/>
        <w:tblW w:type="dxa" w:w="9360"/>
        <w:jc w:val="center"/>
        <w:tblLayout w:type="fixed"/>
        <w:tblLook w:firstColumn="1" w:firstRow="1" w:lastColumn="0" w:lastRow="0" w:noHBand="0" w:noVBand="1" w:val="04A0"/>
        <w:tblInd w:w="120" w:type="dxa"/>
      </w:tblPr>
      <w:tblGrid>
        <w:gridCol w:w="2400"/>
        <w:gridCol w:w="6960"/>
      </w:tblGrid>
      <w:tr>
        <w:trPr>
          <w:tblHeader w:val="true"/>
        </w:trPr>
        <w:tc>
          <w:tcPr>
            <w:tcW w:type="dxa" w:w="2400"/>
            <w:shd w:fill="163A63"/>
            <w:tcMar>
              <w:top w:w="100" w:type="dxa"/>
              <w:start w:w="120" w:type="dxa"/>
              <w:bottom w:w="100" w:type="dxa"/>
              <w:end w:w="120" w:type="dxa"/>
            </w:tcMar>
            <w:vAlign w:val="center"/>
          </w:tcPr>
          <w:p>
            <w:pPr>
              <w:spacing w:after="0"/>
            </w:pPr>
            <w:r>
              <w:rPr>
                <w:rFonts w:ascii="Aptos" w:hAnsi="Aptos"/>
                <w:b/>
                <w:i w:val="0"/>
                <w:color w:val="FFFFFF"/>
                <w:sz w:val="17"/>
              </w:rPr>
              <w:t>Term</w:t>
            </w:r>
          </w:p>
        </w:tc>
        <w:tc>
          <w:tcPr>
            <w:tcW w:type="dxa" w:w="6960"/>
            <w:shd w:fill="163A63"/>
            <w:tcMar>
              <w:top w:w="100" w:type="dxa"/>
              <w:start w:w="120" w:type="dxa"/>
              <w:bottom w:w="100" w:type="dxa"/>
              <w:end w:w="120" w:type="dxa"/>
            </w:tcMar>
            <w:vAlign w:val="center"/>
          </w:tcPr>
          <w:p>
            <w:pPr>
              <w:spacing w:after="0"/>
            </w:pPr>
            <w:r>
              <w:rPr>
                <w:rFonts w:ascii="Aptos" w:hAnsi="Aptos"/>
                <w:b/>
                <w:i w:val="0"/>
                <w:color w:val="FFFFFF"/>
                <w:sz w:val="17"/>
              </w:rPr>
              <w:t>Student-friendly meaning</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Irregular expense</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A cost that happens sometimes, not every month.</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Due date</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The date the money is needed.</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Set-aside</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Money saved now for a later cost.</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Monthly share</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Total cost divided by the number of months available.</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Shortfall</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The amount still missing.</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Carryover</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Money kept for the next month instead of spent.</w:t>
            </w:r>
          </w:p>
        </w:tc>
      </w:tr>
    </w:tbl>
    <w:p>
      <w:pPr>
        <w:spacing w:before="0" w:after="0" w:line="20" w:lineRule="exact"/>
      </w:pPr>
      <w:r>
        <w:rPr>
          <w:rFonts w:ascii="Aptos" w:hAnsi="Aptos"/>
          <w:b w:val="0"/>
          <w:i w:val="0"/>
          <w:color w:val="1F2933"/>
          <w:sz w:val="2"/>
        </w:rPr>
        <w:br w:type="page"/>
      </w:r>
    </w:p>
    <w:p>
      <w:pPr>
        <w:pStyle w:val="Heading1"/>
      </w:pPr>
      <w:r>
        <w:t>Part 1 - Find the Monthly Amounts</w:t>
      </w:r>
    </w:p>
    <w:tbl>
      <w:tblPr>
        <w:tblStyle w:val="TableGrid"/>
        <w:tblW w:type="dxa" w:w="9360"/>
        <w:jc w:val="center"/>
        <w:tblLayout w:type="fixed"/>
        <w:tblLook w:firstColumn="1" w:firstRow="1" w:lastColumn="0" w:lastRow="0" w:noHBand="0" w:noVBand="1" w:val="04A0"/>
        <w:tblInd w:w="120" w:type="dxa"/>
      </w:tblPr>
      <w:tblGrid>
        <w:gridCol w:w="2400"/>
        <w:gridCol w:w="1600"/>
        <w:gridCol w:w="1600"/>
        <w:gridCol w:w="1900"/>
        <w:gridCol w:w="1860"/>
      </w:tblGrid>
      <w:tr>
        <w:trPr>
          <w:tblHeader w:val="true"/>
        </w:trPr>
        <w:tc>
          <w:tcPr>
            <w:tcW w:type="dxa" w:w="2400"/>
            <w:shd w:fill="163A63"/>
            <w:tcMar>
              <w:top w:w="100" w:type="dxa"/>
              <w:start w:w="120" w:type="dxa"/>
              <w:bottom w:w="100" w:type="dxa"/>
              <w:end w:w="120" w:type="dxa"/>
            </w:tcMar>
            <w:vAlign w:val="center"/>
          </w:tcPr>
          <w:p>
            <w:pPr>
              <w:spacing w:after="0"/>
            </w:pPr>
            <w:r>
              <w:rPr>
                <w:rFonts w:ascii="Aptos" w:hAnsi="Aptos"/>
                <w:b/>
                <w:i w:val="0"/>
                <w:color w:val="FFFFFF"/>
                <w:sz w:val="16"/>
              </w:rPr>
              <w:t>Expense</w:t>
            </w:r>
          </w:p>
        </w:tc>
        <w:tc>
          <w:tcPr>
            <w:tcW w:type="dxa" w:w="1600"/>
            <w:shd w:fill="163A63"/>
            <w:tcMar>
              <w:top w:w="100" w:type="dxa"/>
              <w:start w:w="120" w:type="dxa"/>
              <w:bottom w:w="100" w:type="dxa"/>
              <w:end w:w="120" w:type="dxa"/>
            </w:tcMar>
            <w:vAlign w:val="center"/>
          </w:tcPr>
          <w:p>
            <w:pPr>
              <w:spacing w:after="0"/>
            </w:pPr>
            <w:r>
              <w:rPr>
                <w:rFonts w:ascii="Aptos" w:hAnsi="Aptos"/>
                <w:b/>
                <w:i w:val="0"/>
                <w:color w:val="FFFFFF"/>
                <w:sz w:val="16"/>
              </w:rPr>
              <w:t>Yearly amount</w:t>
            </w:r>
          </w:p>
        </w:tc>
        <w:tc>
          <w:tcPr>
            <w:tcW w:type="dxa" w:w="1600"/>
            <w:shd w:fill="163A63"/>
            <w:tcMar>
              <w:top w:w="100" w:type="dxa"/>
              <w:start w:w="120" w:type="dxa"/>
              <w:bottom w:w="100" w:type="dxa"/>
              <w:end w:w="120" w:type="dxa"/>
            </w:tcMar>
            <w:vAlign w:val="center"/>
          </w:tcPr>
          <w:p>
            <w:pPr>
              <w:spacing w:after="0"/>
            </w:pPr>
            <w:r>
              <w:rPr>
                <w:rFonts w:ascii="Aptos" w:hAnsi="Aptos"/>
                <w:b/>
                <w:i w:val="0"/>
                <w:color w:val="FFFFFF"/>
                <w:sz w:val="16"/>
              </w:rPr>
              <w:t>Months to save</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Monthly set-aside</w:t>
            </w:r>
          </w:p>
        </w:tc>
        <w:tc>
          <w:tcPr>
            <w:tcW w:type="dxa" w:w="1860"/>
            <w:shd w:fill="163A63"/>
            <w:tcMar>
              <w:top w:w="100" w:type="dxa"/>
              <w:start w:w="120" w:type="dxa"/>
              <w:bottom w:w="100" w:type="dxa"/>
              <w:end w:w="120" w:type="dxa"/>
            </w:tcMar>
            <w:vAlign w:val="center"/>
          </w:tcPr>
          <w:p>
            <w:pPr>
              <w:spacing w:after="0"/>
            </w:pPr>
            <w:r>
              <w:rPr>
                <w:rFonts w:ascii="Aptos" w:hAnsi="Aptos"/>
                <w:b/>
                <w:i w:val="0"/>
                <w:color w:val="FFFFFF"/>
                <w:sz w:val="16"/>
              </w:rPr>
              <w:t>Check: monthly x months</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6"/>
              </w:rPr>
              <w:t>School supplies</w:t>
            </w:r>
          </w:p>
        </w:tc>
        <w:tc>
          <w:tcPr>
            <w:tcW w:type="dxa" w:w="1600"/>
            <w:tcMar>
              <w:top w:w="100" w:type="dxa"/>
              <w:start w:w="120" w:type="dxa"/>
              <w:bottom w:w="100" w:type="dxa"/>
              <w:end w:w="120" w:type="dxa"/>
            </w:tcMar>
            <w:vAlign w:val="center"/>
          </w:tcPr>
          <w:p>
            <w:pPr>
              <w:spacing w:after="0"/>
            </w:pPr>
            <w:r>
              <w:rPr>
                <w:rFonts w:ascii="Aptos" w:hAnsi="Aptos"/>
                <w:b w:val="0"/>
                <w:i w:val="0"/>
                <w:color w:val="1F2933"/>
                <w:sz w:val="16"/>
              </w:rPr>
              <w:t>$120</w:t>
            </w:r>
          </w:p>
        </w:tc>
        <w:tc>
          <w:tcPr>
            <w:tcW w:type="dxa" w:w="1600"/>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6"/>
              </w:rPr>
              <w:t>Club/activity fee</w:t>
            </w:r>
          </w:p>
        </w:tc>
        <w:tc>
          <w:tcPr>
            <w:tcW w:type="dxa" w:w="1600"/>
            <w:shd w:fill="F4F6F8"/>
            <w:tcMar>
              <w:top w:w="100" w:type="dxa"/>
              <w:start w:w="120" w:type="dxa"/>
              <w:bottom w:w="100" w:type="dxa"/>
              <w:end w:w="120" w:type="dxa"/>
            </w:tcMar>
            <w:vAlign w:val="center"/>
          </w:tcPr>
          <w:p>
            <w:pPr>
              <w:spacing w:after="0"/>
            </w:pPr>
            <w:r>
              <w:rPr>
                <w:rFonts w:ascii="Aptos" w:hAnsi="Aptos"/>
                <w:b w:val="0"/>
                <w:i w:val="0"/>
                <w:color w:val="1F2933"/>
                <w:sz w:val="16"/>
              </w:rPr>
              <w:t>$72</w:t>
            </w:r>
          </w:p>
        </w:tc>
        <w:tc>
          <w:tcPr>
            <w:tcW w:type="dxa" w:w="1600"/>
            <w:shd w:fill="F4F6F8"/>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6"/>
              </w:rPr>
              <w:t>Gifts</w:t>
            </w:r>
          </w:p>
        </w:tc>
        <w:tc>
          <w:tcPr>
            <w:tcW w:type="dxa" w:w="1600"/>
            <w:tcMar>
              <w:top w:w="100" w:type="dxa"/>
              <w:start w:w="120" w:type="dxa"/>
              <w:bottom w:w="100" w:type="dxa"/>
              <w:end w:w="120" w:type="dxa"/>
            </w:tcMar>
            <w:vAlign w:val="center"/>
          </w:tcPr>
          <w:p>
            <w:pPr>
              <w:spacing w:after="0"/>
            </w:pPr>
            <w:r>
              <w:rPr>
                <w:rFonts w:ascii="Aptos" w:hAnsi="Aptos"/>
                <w:b w:val="0"/>
                <w:i w:val="0"/>
                <w:color w:val="1F2933"/>
                <w:sz w:val="16"/>
              </w:rPr>
              <w:t>$180</w:t>
            </w:r>
          </w:p>
        </w:tc>
        <w:tc>
          <w:tcPr>
            <w:tcW w:type="dxa" w:w="1600"/>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6"/>
              </w:rPr>
              <w:t>Device repair reserve</w:t>
            </w:r>
          </w:p>
        </w:tc>
        <w:tc>
          <w:tcPr>
            <w:tcW w:type="dxa" w:w="1600"/>
            <w:shd w:fill="F4F6F8"/>
            <w:tcMar>
              <w:top w:w="100" w:type="dxa"/>
              <w:start w:w="120" w:type="dxa"/>
              <w:bottom w:w="100" w:type="dxa"/>
              <w:end w:w="120" w:type="dxa"/>
            </w:tcMar>
            <w:vAlign w:val="center"/>
          </w:tcPr>
          <w:p>
            <w:pPr>
              <w:spacing w:after="0"/>
            </w:pPr>
            <w:r>
              <w:rPr>
                <w:rFonts w:ascii="Aptos" w:hAnsi="Aptos"/>
                <w:b w:val="0"/>
                <w:i w:val="0"/>
                <w:color w:val="1F2933"/>
                <w:sz w:val="16"/>
              </w:rPr>
              <w:t>$144</w:t>
            </w:r>
          </w:p>
        </w:tc>
        <w:tc>
          <w:tcPr>
            <w:tcW w:type="dxa" w:w="1600"/>
            <w:shd w:fill="F4F6F8"/>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6"/>
              </w:rPr>
              <w:t>Annual app fee</w:t>
            </w:r>
          </w:p>
        </w:tc>
        <w:tc>
          <w:tcPr>
            <w:tcW w:type="dxa" w:w="1600"/>
            <w:tcMar>
              <w:top w:w="100" w:type="dxa"/>
              <w:start w:w="120" w:type="dxa"/>
              <w:bottom w:w="100" w:type="dxa"/>
              <w:end w:w="120" w:type="dxa"/>
            </w:tcMar>
            <w:vAlign w:val="center"/>
          </w:tcPr>
          <w:p>
            <w:pPr>
              <w:spacing w:after="0"/>
            </w:pPr>
            <w:r>
              <w:rPr>
                <w:rFonts w:ascii="Aptos" w:hAnsi="Aptos"/>
                <w:b w:val="0"/>
                <w:i w:val="0"/>
                <w:color w:val="1F2933"/>
                <w:sz w:val="16"/>
              </w:rPr>
              <w:t>$60</w:t>
            </w:r>
          </w:p>
        </w:tc>
        <w:tc>
          <w:tcPr>
            <w:tcW w:type="dxa" w:w="1600"/>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6"/>
              </w:rPr>
              <w:t>Seasonal clothing</w:t>
            </w:r>
          </w:p>
        </w:tc>
        <w:tc>
          <w:tcPr>
            <w:tcW w:type="dxa" w:w="1600"/>
            <w:shd w:fill="F4F6F8"/>
            <w:tcMar>
              <w:top w:w="100" w:type="dxa"/>
              <w:start w:w="120" w:type="dxa"/>
              <w:bottom w:w="100" w:type="dxa"/>
              <w:end w:w="120" w:type="dxa"/>
            </w:tcMar>
            <w:vAlign w:val="center"/>
          </w:tcPr>
          <w:p>
            <w:pPr>
              <w:spacing w:after="0"/>
            </w:pPr>
            <w:r>
              <w:rPr>
                <w:rFonts w:ascii="Aptos" w:hAnsi="Aptos"/>
                <w:b w:val="0"/>
                <w:i w:val="0"/>
                <w:color w:val="1F2933"/>
                <w:sz w:val="16"/>
              </w:rPr>
              <w:t>$180</w:t>
            </w:r>
          </w:p>
        </w:tc>
        <w:tc>
          <w:tcPr>
            <w:tcW w:type="dxa" w:w="1600"/>
            <w:shd w:fill="F4F6F8"/>
            <w:tcMar>
              <w:top w:w="100" w:type="dxa"/>
              <w:start w:w="120" w:type="dxa"/>
              <w:bottom w:w="100" w:type="dxa"/>
              <w:end w:w="120" w:type="dxa"/>
            </w:tcMar>
            <w:vAlign w:val="center"/>
          </w:tcPr>
          <w:p>
            <w:pPr>
              <w:spacing w:after="0"/>
            </w:pPr>
            <w:r>
              <w:rPr>
                <w:rFonts w:ascii="Aptos" w:hAnsi="Aptos"/>
                <w:b w:val="0"/>
                <w:i w:val="0"/>
                <w:color w:val="1F2933"/>
                <w:sz w:val="16"/>
              </w:rPr>
              <w:t>12</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Find the total yearly cost and the total amount that should be saved each month. Show at least two division calculations.</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Build a 12-Month Calendar</w:t>
      </w:r>
    </w:p>
    <w:p>
      <w:r>
        <w:t>Use these due months: annual app fee in January; device reserve check in March; seasonal clothing in May and November; school supplies in August; club fee in September; gifts spread across the year.</w:t>
      </w:r>
    </w:p>
    <w:tbl>
      <w:tblPr>
        <w:tblStyle w:val="TableGrid"/>
        <w:tblW w:type="dxa" w:w="9360"/>
        <w:jc w:val="center"/>
        <w:tblLayout w:type="fixed"/>
        <w:tblLook w:firstColumn="1" w:firstRow="1" w:lastColumn="0" w:lastRow="0" w:noHBand="0" w:noVBand="1" w:val="04A0"/>
        <w:tblInd w:w="120" w:type="dxa"/>
      </w:tblPr>
      <w:tblGrid>
        <w:gridCol w:w="1200"/>
        <w:gridCol w:w="2200"/>
        <w:gridCol w:w="1900"/>
        <w:gridCol w:w="2200"/>
        <w:gridCol w:w="1860"/>
      </w:tblGrid>
      <w:tr>
        <w:trPr>
          <w:tblHeader w:val="true"/>
        </w:trPr>
        <w:tc>
          <w:tcPr>
            <w:tcW w:type="dxa" w:w="1200"/>
            <w:shd w:fill="163A63"/>
            <w:tcMar>
              <w:top w:w="100" w:type="dxa"/>
              <w:start w:w="120" w:type="dxa"/>
              <w:bottom w:w="100" w:type="dxa"/>
              <w:end w:w="120" w:type="dxa"/>
            </w:tcMar>
            <w:vAlign w:val="center"/>
          </w:tcPr>
          <w:p>
            <w:pPr>
              <w:spacing w:after="0"/>
            </w:pPr>
            <w:r>
              <w:rPr>
                <w:rFonts w:ascii="Aptos" w:hAnsi="Aptos"/>
                <w:b/>
                <w:i w:val="0"/>
                <w:color w:val="FFFFFF"/>
                <w:sz w:val="15"/>
              </w:rPr>
              <w:t>Month</w:t>
            </w:r>
          </w:p>
        </w:tc>
        <w:tc>
          <w:tcPr>
            <w:tcW w:type="dxa" w:w="2200"/>
            <w:shd w:fill="163A63"/>
            <w:tcMar>
              <w:top w:w="100" w:type="dxa"/>
              <w:start w:w="120" w:type="dxa"/>
              <w:bottom w:w="100" w:type="dxa"/>
              <w:end w:w="120" w:type="dxa"/>
            </w:tcMar>
            <w:vAlign w:val="center"/>
          </w:tcPr>
          <w:p>
            <w:pPr>
              <w:spacing w:after="0"/>
            </w:pPr>
            <w:r>
              <w:rPr>
                <w:rFonts w:ascii="Aptos" w:hAnsi="Aptos"/>
                <w:b/>
                <w:i w:val="0"/>
                <w:color w:val="FFFFFF"/>
                <w:sz w:val="15"/>
              </w:rPr>
              <w:t>Deposit to irregular-expense fund</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5"/>
              </w:rPr>
              <w:t>Cost paid this month</w:t>
            </w:r>
          </w:p>
        </w:tc>
        <w:tc>
          <w:tcPr>
            <w:tcW w:type="dxa" w:w="2200"/>
            <w:shd w:fill="163A63"/>
            <w:tcMar>
              <w:top w:w="100" w:type="dxa"/>
              <w:start w:w="120" w:type="dxa"/>
              <w:bottom w:w="100" w:type="dxa"/>
              <w:end w:w="120" w:type="dxa"/>
            </w:tcMar>
            <w:vAlign w:val="center"/>
          </w:tcPr>
          <w:p>
            <w:pPr>
              <w:spacing w:after="0"/>
            </w:pPr>
            <w:r>
              <w:rPr>
                <w:rFonts w:ascii="Aptos" w:hAnsi="Aptos"/>
                <w:b/>
                <w:i w:val="0"/>
                <w:color w:val="FFFFFF"/>
                <w:sz w:val="15"/>
              </w:rPr>
              <w:t>Fund balance after payment</w:t>
            </w:r>
          </w:p>
        </w:tc>
        <w:tc>
          <w:tcPr>
            <w:tcW w:type="dxa" w:w="1860"/>
            <w:shd w:fill="163A63"/>
            <w:tcMar>
              <w:top w:w="100" w:type="dxa"/>
              <w:start w:w="120" w:type="dxa"/>
              <w:bottom w:w="100" w:type="dxa"/>
              <w:end w:w="120" w:type="dxa"/>
            </w:tcMar>
            <w:vAlign w:val="center"/>
          </w:tcPr>
          <w:p>
            <w:pPr>
              <w:spacing w:after="0"/>
            </w:pPr>
            <w:r>
              <w:rPr>
                <w:rFonts w:ascii="Aptos" w:hAnsi="Aptos"/>
                <w:b/>
                <w:i w:val="0"/>
                <w:color w:val="FFFFFF"/>
                <w:sz w:val="15"/>
              </w:rPr>
              <w:t>Next cost to prepare for</w:t>
            </w:r>
          </w:p>
        </w:tc>
      </w:tr>
      <w:tr>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Jan</w:t>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Feb</w:t>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Mar</w:t>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Apr</w:t>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May</w:t>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Jun</w:t>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Jul</w:t>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Aug</w:t>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Sep</w:t>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Oct</w:t>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tcMar>
              <w:top w:w="100" w:type="dxa"/>
              <w:start w:w="120" w:type="dxa"/>
              <w:bottom w:w="100" w:type="dxa"/>
              <w:end w:w="120" w:type="dxa"/>
            </w:tcMar>
            <w:vAlign w:val="center"/>
          </w:tcPr>
          <w:p>
            <w:pPr>
              <w:spacing w:after="0"/>
            </w:pPr>
            <w:r>
              <w:rPr>
                <w:rFonts w:ascii="Aptos" w:hAnsi="Aptos"/>
                <w:b w:val="0"/>
                <w:i w:val="0"/>
                <w:color w:val="1F2933"/>
                <w:sz w:val="15"/>
              </w:rPr>
              <w:t>Nov</w:t>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tcMar>
              <w:top w:w="100" w:type="dxa"/>
              <w:start w:w="120" w:type="dxa"/>
              <w:bottom w:w="100" w:type="dxa"/>
              <w:end w:w="120" w:type="dxa"/>
            </w:tcMar>
            <w:vAlign w:val="center"/>
          </w:tcPr>
          <w:p>
            <w:pPr>
              <w:spacing w:after="0"/>
            </w:pPr>
            <w:r>
              <w:rPr>
                <w:rFonts w:ascii="Aptos" w:hAnsi="Aptos"/>
                <w:b w:val="0"/>
                <w:i w:val="0"/>
                <w:color w:val="1F2933"/>
                <w:sz w:val="15"/>
              </w:rPr>
            </w:r>
          </w:p>
        </w:tc>
      </w:tr>
      <w:tr>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5"/>
              </w:rPr>
              <w:t>Dec</w:t>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t>$63</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2200"/>
            <w:shd w:fill="F4F6F8"/>
            <w:tcMar>
              <w:top w:w="100" w:type="dxa"/>
              <w:start w:w="120" w:type="dxa"/>
              <w:bottom w:w="100" w:type="dxa"/>
              <w:end w:w="120" w:type="dxa"/>
            </w:tcMar>
            <w:vAlign w:val="center"/>
          </w:tcPr>
          <w:p>
            <w:pPr>
              <w:spacing w:after="0"/>
            </w:pPr>
            <w:r>
              <w:rPr>
                <w:rFonts w:ascii="Aptos" w:hAnsi="Aptos"/>
                <w:b w:val="0"/>
                <w:i w:val="0"/>
                <w:color w:val="1F2933"/>
                <w:sz w:val="15"/>
              </w:rPr>
            </w:r>
          </w:p>
        </w:tc>
        <w:tc>
          <w:tcPr>
            <w:tcW w:type="dxa" w:w="1860"/>
            <w:shd w:fill="F4F6F8"/>
            <w:tcMar>
              <w:top w:w="100" w:type="dxa"/>
              <w:start w:w="120" w:type="dxa"/>
              <w:bottom w:w="100" w:type="dxa"/>
              <w:end w:w="120" w:type="dxa"/>
            </w:tcMar>
            <w:vAlign w:val="center"/>
          </w:tcPr>
          <w:p>
            <w:pPr>
              <w:spacing w:after="0"/>
            </w:pPr>
            <w:r>
              <w:rPr>
                <w:rFonts w:ascii="Aptos" w:hAnsi="Aptos"/>
                <w:b w:val="0"/>
                <w:i w:val="0"/>
                <w:color w:val="1F2933"/>
                <w:sz w:val="15"/>
              </w:rPr>
            </w:r>
          </w:p>
        </w:tc>
      </w:tr>
    </w:tbl>
    <w:p>
      <w:r>
        <w:t>Assume the fund begins at $0. A balance may carry into the next month. Explain why a positive balance is not “extra spending money.”</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A Cost Changes</w:t>
      </w:r>
    </w:p>
    <w:p>
      <w:r>
        <w:t>In June, the expected school-supply cost rises from $120 to $168. The money is needed in August. By the end of May, $50 had already been saved for school supplies.</w:t>
      </w:r>
    </w:p>
    <w:tbl>
      <w:tblPr>
        <w:tblStyle w:val="TableGrid"/>
        <w:tblW w:type="dxa" w:w="9360"/>
        <w:jc w:val="center"/>
        <w:tblLayout w:type="fixed"/>
        <w:tblLook w:firstColumn="1" w:firstRow="1" w:lastColumn="0" w:lastRow="0" w:noHBand="0" w:noVBand="1" w:val="04A0"/>
        <w:tblInd w:w="120" w:type="dxa"/>
      </w:tblPr>
      <w:tblGrid>
        <w:gridCol w:w="4300"/>
        <w:gridCol w:w="2600"/>
        <w:gridCol w:w="2460"/>
      </w:tblGrid>
      <w:tr>
        <w:trPr>
          <w:tblHeader w:val="true"/>
        </w:trPr>
        <w:tc>
          <w:tcPr>
            <w:tcW w:type="dxa" w:w="4300"/>
            <w:shd w:fill="163A63"/>
            <w:tcMar>
              <w:top w:w="100" w:type="dxa"/>
              <w:start w:w="120" w:type="dxa"/>
              <w:bottom w:w="100" w:type="dxa"/>
              <w:end w:w="120" w:type="dxa"/>
            </w:tcMar>
            <w:vAlign w:val="center"/>
          </w:tcPr>
          <w:p>
            <w:pPr>
              <w:spacing w:after="0"/>
            </w:pPr>
            <w:r>
              <w:rPr>
                <w:rFonts w:ascii="Aptos" w:hAnsi="Aptos"/>
                <w:b/>
                <w:i w:val="0"/>
                <w:color w:val="FFFFFF"/>
                <w:sz w:val="16"/>
              </w:rPr>
              <w:t>Question</w:t>
            </w:r>
          </w:p>
        </w:tc>
        <w:tc>
          <w:tcPr>
            <w:tcW w:type="dxa" w:w="2600"/>
            <w:shd w:fill="163A63"/>
            <w:tcMar>
              <w:top w:w="100" w:type="dxa"/>
              <w:start w:w="120" w:type="dxa"/>
              <w:bottom w:w="100" w:type="dxa"/>
              <w:end w:w="120" w:type="dxa"/>
            </w:tcMar>
            <w:vAlign w:val="center"/>
          </w:tcPr>
          <w:p>
            <w:pPr>
              <w:spacing w:after="0"/>
            </w:pPr>
            <w:r>
              <w:rPr>
                <w:rFonts w:ascii="Aptos" w:hAnsi="Aptos"/>
                <w:b/>
                <w:i w:val="0"/>
                <w:color w:val="FFFFFF"/>
                <w:sz w:val="16"/>
              </w:rPr>
              <w:t>Calculation</w:t>
            </w:r>
          </w:p>
        </w:tc>
        <w:tc>
          <w:tcPr>
            <w:tcW w:type="dxa" w:w="2460"/>
            <w:shd w:fill="163A63"/>
            <w:tcMar>
              <w:top w:w="100" w:type="dxa"/>
              <w:start w:w="120" w:type="dxa"/>
              <w:bottom w:w="100" w:type="dxa"/>
              <w:end w:w="120" w:type="dxa"/>
            </w:tcMar>
            <w:vAlign w:val="center"/>
          </w:tcPr>
          <w:p>
            <w:pPr>
              <w:spacing w:after="0"/>
            </w:pPr>
            <w:r>
              <w:rPr>
                <w:rFonts w:ascii="Aptos" w:hAnsi="Aptos"/>
                <w:b/>
                <w:i w:val="0"/>
                <w:color w:val="FFFFFF"/>
                <w:sz w:val="16"/>
              </w:rPr>
              <w:t>Answer</w:t>
            </w:r>
          </w:p>
        </w:tc>
      </w:tr>
      <w:tr>
        <w:tc>
          <w:tcPr>
            <w:tcW w:type="dxa" w:w="4300"/>
            <w:tcMar>
              <w:top w:w="100" w:type="dxa"/>
              <w:start w:w="120" w:type="dxa"/>
              <w:bottom w:w="100" w:type="dxa"/>
              <w:end w:w="120" w:type="dxa"/>
            </w:tcMar>
            <w:vAlign w:val="center"/>
          </w:tcPr>
          <w:p>
            <w:pPr>
              <w:spacing w:after="0"/>
            </w:pPr>
            <w:r>
              <w:rPr>
                <w:rFonts w:ascii="Aptos" w:hAnsi="Aptos"/>
                <w:b w:val="0"/>
                <w:i w:val="0"/>
                <w:color w:val="1F2933"/>
                <w:sz w:val="16"/>
              </w:rPr>
              <w:t>New amount still needed</w:t>
            </w:r>
          </w:p>
        </w:tc>
        <w:tc>
          <w:tcPr>
            <w:tcW w:type="dxa" w:w="26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300"/>
            <w:shd w:fill="F4F6F8"/>
            <w:tcMar>
              <w:top w:w="100" w:type="dxa"/>
              <w:start w:w="120" w:type="dxa"/>
              <w:bottom w:w="100" w:type="dxa"/>
              <w:end w:w="120" w:type="dxa"/>
            </w:tcMar>
            <w:vAlign w:val="center"/>
          </w:tcPr>
          <w:p>
            <w:pPr>
              <w:spacing w:after="0"/>
            </w:pPr>
            <w:r>
              <w:rPr>
                <w:rFonts w:ascii="Aptos" w:hAnsi="Aptos"/>
                <w:b w:val="0"/>
                <w:i w:val="0"/>
                <w:color w:val="1F2933"/>
                <w:sz w:val="16"/>
              </w:rPr>
              <w:t>Months remaining (June, July, August)</w:t>
            </w:r>
          </w:p>
        </w:tc>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300"/>
            <w:tcMar>
              <w:top w:w="100" w:type="dxa"/>
              <w:start w:w="120" w:type="dxa"/>
              <w:bottom w:w="100" w:type="dxa"/>
              <w:end w:w="120" w:type="dxa"/>
            </w:tcMar>
            <w:vAlign w:val="center"/>
          </w:tcPr>
          <w:p>
            <w:pPr>
              <w:spacing w:after="0"/>
            </w:pPr>
            <w:r>
              <w:rPr>
                <w:rFonts w:ascii="Aptos" w:hAnsi="Aptos"/>
                <w:b w:val="0"/>
                <w:i w:val="0"/>
                <w:color w:val="1F2933"/>
                <w:sz w:val="16"/>
              </w:rPr>
              <w:t>New monthly amount for school supplies</w:t>
            </w:r>
          </w:p>
        </w:tc>
        <w:tc>
          <w:tcPr>
            <w:tcW w:type="dxa" w:w="26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300"/>
            <w:shd w:fill="F4F6F8"/>
            <w:tcMar>
              <w:top w:w="100" w:type="dxa"/>
              <w:start w:w="120" w:type="dxa"/>
              <w:bottom w:w="100" w:type="dxa"/>
              <w:end w:w="120" w:type="dxa"/>
            </w:tcMar>
            <w:vAlign w:val="center"/>
          </w:tcPr>
          <w:p>
            <w:pPr>
              <w:spacing w:after="0"/>
            </w:pPr>
            <w:r>
              <w:rPr>
                <w:rFonts w:ascii="Aptos" w:hAnsi="Aptos"/>
                <w:b w:val="0"/>
                <w:i w:val="0"/>
                <w:color w:val="1F2933"/>
                <w:sz w:val="16"/>
              </w:rPr>
              <w:t>Increase above the old $10 monthly amount</w:t>
            </w:r>
          </w:p>
        </w:tc>
        <w:tc>
          <w:tcPr>
            <w:tcW w:type="dxa" w:w="26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300"/>
            <w:tcMar>
              <w:top w:w="100" w:type="dxa"/>
              <w:start w:w="120" w:type="dxa"/>
              <w:bottom w:w="100" w:type="dxa"/>
              <w:end w:w="120" w:type="dxa"/>
            </w:tcMar>
            <w:vAlign w:val="center"/>
          </w:tcPr>
          <w:p>
            <w:pPr>
              <w:spacing w:after="0"/>
            </w:pPr>
            <w:r>
              <w:rPr>
                <w:rFonts w:ascii="Aptos" w:hAnsi="Aptos"/>
                <w:b w:val="0"/>
                <w:i w:val="0"/>
                <w:color w:val="1F2933"/>
                <w:sz w:val="16"/>
              </w:rPr>
              <w:t>New total monthly set-aside for all six categories</w:t>
            </w:r>
          </w:p>
        </w:tc>
        <w:tc>
          <w:tcPr>
            <w:tcW w:type="dxa" w:w="26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460"/>
            <w:tcMar>
              <w:top w:w="100" w:type="dxa"/>
              <w:start w:w="120" w:type="dxa"/>
              <w:bottom w:w="100" w:type="dxa"/>
              <w:end w:w="120" w:type="dxa"/>
            </w:tcMar>
            <w:vAlign w:val="center"/>
          </w:tcPr>
          <w:p>
            <w:pPr>
              <w:spacing w:after="0"/>
            </w:pPr>
            <w:r>
              <w:rPr>
                <w:rFonts w:ascii="Aptos" w:hAnsi="Aptos"/>
                <w:b w:val="0"/>
                <w:i w:val="0"/>
                <w:color w:val="1F2933"/>
                <w:sz w:val="16"/>
              </w:rPr>
            </w:r>
          </w:p>
        </w:tc>
      </w:tr>
    </w:tbl>
    <w:p>
      <w:r>
        <w:t>Name two ways to handle the higher cost without pretending the increase did not happen.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Avoid Double Counting</w:t>
      </w:r>
    </w:p>
    <w:tbl>
      <w:tblPr>
        <w:tblStyle w:val="TableGrid"/>
        <w:tblW w:type="dxa" w:w="9360"/>
        <w:jc w:val="center"/>
        <w:tblLayout w:type="fixed"/>
        <w:tblLook w:firstColumn="1" w:firstRow="1" w:lastColumn="0" w:lastRow="0" w:noHBand="0" w:noVBand="1" w:val="04A0"/>
        <w:tblInd w:w="120" w:type="dxa"/>
      </w:tblPr>
      <w:tblGrid>
        <w:gridCol w:w="4600"/>
        <w:gridCol w:w="1900"/>
        <w:gridCol w:w="2860"/>
      </w:tblGrid>
      <w:tr>
        <w:trPr>
          <w:tblHeader w:val="true"/>
        </w:trPr>
        <w:tc>
          <w:tcPr>
            <w:tcW w:type="dxa" w:w="4600"/>
            <w:shd w:fill="163A63"/>
            <w:tcMar>
              <w:top w:w="100" w:type="dxa"/>
              <w:start w:w="120" w:type="dxa"/>
              <w:bottom w:w="100" w:type="dxa"/>
              <w:end w:w="120" w:type="dxa"/>
            </w:tcMar>
            <w:vAlign w:val="center"/>
          </w:tcPr>
          <w:p>
            <w:pPr>
              <w:spacing w:after="0"/>
            </w:pPr>
            <w:r>
              <w:rPr>
                <w:rFonts w:ascii="Aptos" w:hAnsi="Aptos"/>
                <w:b/>
                <w:i w:val="0"/>
                <w:color w:val="FFFFFF"/>
                <w:sz w:val="16"/>
              </w:rPr>
              <w:t>Statement</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Correct or incorrect?</w:t>
            </w:r>
          </w:p>
        </w:tc>
        <w:tc>
          <w:tcPr>
            <w:tcW w:type="dxa" w:w="2860"/>
            <w:shd w:fill="163A63"/>
            <w:tcMar>
              <w:top w:w="100" w:type="dxa"/>
              <w:start w:w="120" w:type="dxa"/>
              <w:bottom w:w="100" w:type="dxa"/>
              <w:end w:w="120" w:type="dxa"/>
            </w:tcMar>
            <w:vAlign w:val="center"/>
          </w:tcPr>
          <w:p>
            <w:pPr>
              <w:spacing w:after="0"/>
            </w:pPr>
            <w:r>
              <w:rPr>
                <w:rFonts w:ascii="Aptos" w:hAnsi="Aptos"/>
                <w:b/>
                <w:i w:val="0"/>
                <w:color w:val="FFFFFF"/>
                <w:sz w:val="16"/>
              </w:rPr>
              <w:t>Explain or correct it</w:t>
            </w:r>
          </w:p>
        </w:tc>
      </w:tr>
      <w:tr>
        <w:tc>
          <w:tcPr>
            <w:tcW w:type="dxa" w:w="4600"/>
            <w:tcMar>
              <w:top w:w="100" w:type="dxa"/>
              <w:start w:w="120" w:type="dxa"/>
              <w:bottom w:w="100" w:type="dxa"/>
              <w:end w:w="120" w:type="dxa"/>
            </w:tcMar>
            <w:vAlign w:val="center"/>
          </w:tcPr>
          <w:p>
            <w:pPr>
              <w:spacing w:after="0"/>
            </w:pPr>
            <w:r>
              <w:rPr>
                <w:rFonts w:ascii="Aptos" w:hAnsi="Aptos"/>
                <w:b w:val="0"/>
                <w:i w:val="0"/>
                <w:color w:val="1F2933"/>
                <w:sz w:val="16"/>
              </w:rPr>
              <w:t>The $63 deposit is available for entertainment until a bill is due.</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00"/>
            <w:shd w:fill="F4F6F8"/>
            <w:tcMar>
              <w:top w:w="100" w:type="dxa"/>
              <w:start w:w="120" w:type="dxa"/>
              <w:bottom w:w="100" w:type="dxa"/>
              <w:end w:w="120" w:type="dxa"/>
            </w:tcMar>
            <w:vAlign w:val="center"/>
          </w:tcPr>
          <w:p>
            <w:pPr>
              <w:spacing w:after="0"/>
            </w:pPr>
            <w:r>
              <w:rPr>
                <w:rFonts w:ascii="Aptos" w:hAnsi="Aptos"/>
                <w:b w:val="0"/>
                <w:i w:val="0"/>
                <w:color w:val="1F2933"/>
                <w:sz w:val="16"/>
              </w:rPr>
              <w:t>Money already saved lowers the amount still needed.</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00"/>
            <w:tcMar>
              <w:top w:w="100" w:type="dxa"/>
              <w:start w:w="120" w:type="dxa"/>
              <w:bottom w:w="100" w:type="dxa"/>
              <w:end w:w="120" w:type="dxa"/>
            </w:tcMar>
            <w:vAlign w:val="center"/>
          </w:tcPr>
          <w:p>
            <w:pPr>
              <w:spacing w:after="0"/>
            </w:pPr>
            <w:r>
              <w:rPr>
                <w:rFonts w:ascii="Aptos" w:hAnsi="Aptos"/>
                <w:b w:val="0"/>
                <w:i w:val="0"/>
                <w:color w:val="1F2933"/>
                <w:sz w:val="16"/>
              </w:rPr>
              <w:t>A yearly cost should be divided by 12 even when only 3 months remain.</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00"/>
            <w:shd w:fill="F4F6F8"/>
            <w:tcMar>
              <w:top w:w="100" w:type="dxa"/>
              <w:start w:w="120" w:type="dxa"/>
              <w:bottom w:w="100" w:type="dxa"/>
              <w:end w:w="120" w:type="dxa"/>
            </w:tcMar>
            <w:vAlign w:val="center"/>
          </w:tcPr>
          <w:p>
            <w:pPr>
              <w:spacing w:after="0"/>
            </w:pPr>
            <w:r>
              <w:rPr>
                <w:rFonts w:ascii="Aptos" w:hAnsi="Aptos"/>
                <w:b w:val="0"/>
                <w:i w:val="0"/>
                <w:color w:val="1F2933"/>
                <w:sz w:val="16"/>
              </w:rPr>
              <w:t>A carryover balance belongs to the future costs it was saved for.</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00"/>
            <w:tcMar>
              <w:top w:w="100" w:type="dxa"/>
              <w:start w:w="120" w:type="dxa"/>
              <w:bottom w:w="100" w:type="dxa"/>
              <w:end w:w="120" w:type="dxa"/>
            </w:tcMar>
            <w:vAlign w:val="center"/>
          </w:tcPr>
          <w:p>
            <w:pPr>
              <w:spacing w:after="0"/>
            </w:pPr>
            <w:r>
              <w:rPr>
                <w:rFonts w:ascii="Aptos" w:hAnsi="Aptos"/>
                <w:b w:val="0"/>
                <w:i w:val="0"/>
                <w:color w:val="1F2933"/>
                <w:sz w:val="16"/>
              </w:rPr>
              <w:t>If a cost drops, the plan can be updated.</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8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4600"/>
            <w:shd w:fill="F4F6F8"/>
            <w:tcMar>
              <w:top w:w="100" w:type="dxa"/>
              <w:start w:w="120" w:type="dxa"/>
              <w:bottom w:w="100" w:type="dxa"/>
              <w:end w:w="120" w:type="dxa"/>
            </w:tcMar>
            <w:vAlign w:val="center"/>
          </w:tcPr>
          <w:p>
            <w:pPr>
              <w:spacing w:after="0"/>
            </w:pPr>
            <w:r>
              <w:rPr>
                <w:rFonts w:ascii="Aptos" w:hAnsi="Aptos"/>
                <w:b w:val="0"/>
                <w:i w:val="0"/>
                <w:color w:val="1F2933"/>
                <w:sz w:val="16"/>
              </w:rPr>
              <w:t>The same $20 can be counted for two different goals.</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8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Create one additional “double counting” mistake and explain how to fix it.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My Annual Savings Map</w:t>
      </w:r>
    </w:p>
    <w:tbl>
      <w:tblPr>
        <w:tblStyle w:val="TableGrid"/>
        <w:tblW w:type="dxa" w:w="9360"/>
        <w:jc w:val="center"/>
        <w:tblLayout w:type="fixed"/>
        <w:tblLook w:firstColumn="1" w:firstRow="1" w:lastColumn="0" w:lastRow="0" w:noHBand="0" w:noVBand="1" w:val="04A0"/>
        <w:tblInd w:w="120" w:type="dxa"/>
      </w:tblPr>
      <w:tblGrid>
        <w:gridCol w:w="2300"/>
        <w:gridCol w:w="1200"/>
        <w:gridCol w:w="1400"/>
        <w:gridCol w:w="1400"/>
        <w:gridCol w:w="1300"/>
        <w:gridCol w:w="1760"/>
      </w:tblGrid>
      <w:tr>
        <w:trPr>
          <w:tblHeader w:val="true"/>
        </w:trPr>
        <w:tc>
          <w:tcPr>
            <w:tcW w:type="dxa" w:w="2300"/>
            <w:shd w:fill="163A63"/>
            <w:tcMar>
              <w:top w:w="100" w:type="dxa"/>
              <w:start w:w="120" w:type="dxa"/>
              <w:bottom w:w="100" w:type="dxa"/>
              <w:end w:w="120" w:type="dxa"/>
            </w:tcMar>
            <w:vAlign w:val="center"/>
          </w:tcPr>
          <w:p>
            <w:pPr>
              <w:spacing w:after="0"/>
            </w:pPr>
            <w:r>
              <w:rPr>
                <w:rFonts w:ascii="Aptos" w:hAnsi="Aptos"/>
                <w:b/>
                <w:i w:val="0"/>
                <w:color w:val="FFFFFF"/>
                <w:sz w:val="16"/>
              </w:rPr>
              <w:t>Future cost</w:t>
            </w:r>
          </w:p>
        </w:tc>
        <w:tc>
          <w:tcPr>
            <w:tcW w:type="dxa" w:w="1200"/>
            <w:shd w:fill="163A63"/>
            <w:tcMar>
              <w:top w:w="100" w:type="dxa"/>
              <w:start w:w="120" w:type="dxa"/>
              <w:bottom w:w="100" w:type="dxa"/>
              <w:end w:w="120" w:type="dxa"/>
            </w:tcMar>
            <w:vAlign w:val="center"/>
          </w:tcPr>
          <w:p>
            <w:pPr>
              <w:spacing w:after="0"/>
            </w:pPr>
            <w:r>
              <w:rPr>
                <w:rFonts w:ascii="Aptos" w:hAnsi="Aptos"/>
                <w:b/>
                <w:i w:val="0"/>
                <w:color w:val="FFFFFF"/>
                <w:sz w:val="16"/>
              </w:rPr>
              <w:t>Amount</w:t>
            </w:r>
          </w:p>
        </w:tc>
        <w:tc>
          <w:tcPr>
            <w:tcW w:type="dxa" w:w="1400"/>
            <w:shd w:fill="163A63"/>
            <w:tcMar>
              <w:top w:w="100" w:type="dxa"/>
              <w:start w:w="120" w:type="dxa"/>
              <w:bottom w:w="100" w:type="dxa"/>
              <w:end w:w="120" w:type="dxa"/>
            </w:tcMar>
            <w:vAlign w:val="center"/>
          </w:tcPr>
          <w:p>
            <w:pPr>
              <w:spacing w:after="0"/>
            </w:pPr>
            <w:r>
              <w:rPr>
                <w:rFonts w:ascii="Aptos" w:hAnsi="Aptos"/>
                <w:b/>
                <w:i w:val="0"/>
                <w:color w:val="FFFFFF"/>
                <w:sz w:val="16"/>
              </w:rPr>
              <w:t>Due month</w:t>
            </w:r>
          </w:p>
        </w:tc>
        <w:tc>
          <w:tcPr>
            <w:tcW w:type="dxa" w:w="1400"/>
            <w:shd w:fill="163A63"/>
            <w:tcMar>
              <w:top w:w="100" w:type="dxa"/>
              <w:start w:w="120" w:type="dxa"/>
              <w:bottom w:w="100" w:type="dxa"/>
              <w:end w:w="120" w:type="dxa"/>
            </w:tcMar>
            <w:vAlign w:val="center"/>
          </w:tcPr>
          <w:p>
            <w:pPr>
              <w:spacing w:after="0"/>
            </w:pPr>
            <w:r>
              <w:rPr>
                <w:rFonts w:ascii="Aptos" w:hAnsi="Aptos"/>
                <w:b/>
                <w:i w:val="0"/>
                <w:color w:val="FFFFFF"/>
                <w:sz w:val="16"/>
              </w:rPr>
              <w:t>Saved now</w:t>
            </w:r>
          </w:p>
        </w:tc>
        <w:tc>
          <w:tcPr>
            <w:tcW w:type="dxa" w:w="1300"/>
            <w:shd w:fill="163A63"/>
            <w:tcMar>
              <w:top w:w="100" w:type="dxa"/>
              <w:start w:w="120" w:type="dxa"/>
              <w:bottom w:w="100" w:type="dxa"/>
              <w:end w:w="120" w:type="dxa"/>
            </w:tcMar>
            <w:vAlign w:val="center"/>
          </w:tcPr>
          <w:p>
            <w:pPr>
              <w:spacing w:after="0"/>
            </w:pPr>
            <w:r>
              <w:rPr>
                <w:rFonts w:ascii="Aptos" w:hAnsi="Aptos"/>
                <w:b/>
                <w:i w:val="0"/>
                <w:color w:val="FFFFFF"/>
                <w:sz w:val="16"/>
              </w:rPr>
              <w:t>Months left</w:t>
            </w:r>
          </w:p>
        </w:tc>
        <w:tc>
          <w:tcPr>
            <w:tcW w:type="dxa" w:w="1760"/>
            <w:shd w:fill="163A63"/>
            <w:tcMar>
              <w:top w:w="100" w:type="dxa"/>
              <w:start w:w="120" w:type="dxa"/>
              <w:bottom w:w="100" w:type="dxa"/>
              <w:end w:w="120" w:type="dxa"/>
            </w:tcMar>
            <w:vAlign w:val="center"/>
          </w:tcPr>
          <w:p>
            <w:pPr>
              <w:spacing w:after="0"/>
            </w:pPr>
            <w:r>
              <w:rPr>
                <w:rFonts w:ascii="Aptos" w:hAnsi="Aptos"/>
                <w:b/>
                <w:i w:val="0"/>
                <w:color w:val="FFFFFF"/>
                <w:sz w:val="16"/>
              </w:rPr>
              <w:t>Amount per month</w:t>
            </w:r>
          </w:p>
        </w:tc>
      </w:tr>
      <w:tr>
        <w:tc>
          <w:tcPr>
            <w:tcW w:type="dxa" w:w="2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2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60"/>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a 150-200 word plan. Explain which cost is due first, the total monthly set-aside, one change you could make if a cost rises, and the rule you will use to keep this money separate from everyday spending.</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