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CFM FINANCIAL MANAGEMENT: FM.2 MONEY MANAGEMENT</w:t>
      </w:r>
    </w:p>
    <w:p>
      <w:pPr>
        <w:pStyle w:val="Title"/>
      </w:pPr>
      <w:r>
        <w:t>Organizing Financial Records and Resolving Account Errors</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System</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Classify records, reconcile a fictional account, document an error, and create a secure recordkeeping plan.</w:t>
            </w:r>
          </w:p>
        </w:tc>
      </w:tr>
    </w:tbl>
    <w:p>
      <w:pPr>
        <w:spacing w:after="0"/>
      </w:pPr>
    </w:p>
    <w:p>
      <w:pPr>
        <w:pStyle w:val="Heading1"/>
      </w:pPr>
      <w:r>
        <w:t>New York CFM Connections: Payment Choices, Mobile Banking Safety, Records, and Account Errors</w:t>
      </w:r>
    </w:p>
    <w:p>
      <w:r>
        <w:t>Financial records help people budget, verify transactions, prepare taxes, prove payment, dispute errors, and recover from fraud. Records should be accurate, organized, securely stored, backed up when appropriate, and retained according to current legal, tax, account, and personal needs.</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tblHeader w:val="true"/>
          <w:tblHeader w:val="true"/>
        </w:trPr>
        <w:tc>
          <w:tcPr>
            <w:tcW w:type="dxa" w:w="2600"/>
            <w:shd w:fill="163A63"/>
            <w:tcMar>
              <w:top w:w="100" w:type="dxa"/>
              <w:start w:w="120" w:type="dxa"/>
              <w:bottom w:w="100" w:type="dxa"/>
              <w:end w:w="120" w:type="dxa"/>
            </w:tcMar>
            <w:vAlign w:val="center"/>
          </w:tcPr>
          <w:p>
            <w:pPr>
              <w:spacing w:after="0"/>
            </w:pPr>
            <w:r>
              <w:rPr>
                <w:rFonts w:ascii="Aptos" w:hAnsi="Aptos"/>
                <w:b/>
                <w:i w:val="0"/>
                <w:color w:val="FFFFFF"/>
                <w:sz w:val="16"/>
              </w:rPr>
              <w:t>Term</w:t>
            </w:r>
          </w:p>
        </w:tc>
        <w:tc>
          <w:tcPr>
            <w:tcW w:type="dxa" w:w="6760"/>
            <w:shd w:fill="163A63"/>
            <w:tcMar>
              <w:top w:w="100" w:type="dxa"/>
              <w:start w:w="120" w:type="dxa"/>
              <w:bottom w:w="100" w:type="dxa"/>
              <w:end w:w="120" w:type="dxa"/>
            </w:tcMar>
            <w:vAlign w:val="center"/>
          </w:tcPr>
          <w:p>
            <w:pPr>
              <w:spacing w:after="0"/>
            </w:pPr>
            <w:r>
              <w:rPr>
                <w:rFonts w:ascii="Aptos" w:hAnsi="Aptos"/>
                <w:b/>
                <w:i w:val="0"/>
                <w:color w:val="FFFFFF"/>
                <w:sz w:val="16"/>
              </w:rPr>
              <w:t>Student-friendly meaning</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Financial record</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A document or data entry showing a financial event or obligation.</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Reconciliation</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Comparing independent records and explaining differences.</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Pending transaction</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An authorized transaction not yet finally posted.</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Error notice</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A report to a provider describing a possible account error.</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Retention</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The period a record is kept.</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Secure disposal</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Destroying records so private information cannot be reconstructed.</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CLASSROOM USE  </w:t>
            </w:r>
            <w:r>
              <w:rPr>
                <w:rFonts w:ascii="Aptos" w:hAnsi="Aptos"/>
                <w:b w:val="0"/>
                <w:i w:val="0"/>
                <w:color w:val="1F2933"/>
                <w:sz w:val="20"/>
              </w:rPr>
              <w:t>All people, employers, figures, brackets, and documents in this packet are fictional. Never place a real Social Security number, employer ID, bank number, or tax document in classroom work.</w:t>
            </w:r>
          </w:p>
        </w:tc>
      </w:tr>
    </w:tbl>
    <w:p>
      <w:pPr>
        <w:spacing w:after="0"/>
      </w:pPr>
    </w:p>
    <w:p>
      <w:pPr>
        <w:spacing w:before="0" w:after="0" w:line="20" w:lineRule="exact"/>
      </w:pPr>
      <w:r>
        <w:rPr>
          <w:rFonts w:ascii="Aptos" w:hAnsi="Aptos"/>
          <w:b w:val="0"/>
          <w:i w:val="0"/>
          <w:color w:val="1F2933"/>
          <w:sz w:val="2"/>
        </w:rPr>
        <w:br w:type="page"/>
      </w:r>
    </w:p>
    <w:p>
      <w:pPr>
        <w:pStyle w:val="Heading1"/>
      </w:pPr>
      <w:r>
        <w:t>Part 1 - Classify Financial Records</w:t>
      </w:r>
    </w:p>
    <w:p>
      <w:r>
        <w:t>Sort receipt, pay statement, bank statement, loan agreement, tax form, warranty, and scam screenshot.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Record</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Purpose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Sensitive data</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Storage/retention question</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Receipt</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Pay statement</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Bank statement</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Loan agreement</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Tax form</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Warranty</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Scam evidence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bl>
    <w:p>
      <w:r>
        <w:t>Do not use real records.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Reconcile a Fictional Account</w:t>
      </w:r>
    </w:p>
    <w:p>
      <w:r>
        <w:t>Register balance $612.40. Statement balance $701.15. Outstanding debit $74.25; deposit in transit $50; bank fee $10; duplicate posted charge $54.50.</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Item</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Add/subtract</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Amount</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Adjusted balance/next step</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Statement balance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Outstanding debit</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Deposit in transit</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Bank fee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Duplicate charge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Comparison</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A suspected duplicate is disputed, not silently removed from bank records.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Write an Objective Error Notice</w:t>
      </w:r>
    </w:p>
    <w:p>
      <w:r>
        <w:t>A $54.50 charge from Metro Supply appears twice on the same date.</w:t>
      </w:r>
    </w:p>
    <w:tbl>
      <w:tblPr>
        <w:tblStyle w:val="TableGrid"/>
        <w:tblW w:type="dxa" w:w="9360"/>
        <w:jc w:val="center"/>
        <w:tblLayout w:type="fixed"/>
        <w:tblLook w:firstColumn="1" w:firstRow="1" w:lastColumn="0" w:lastRow="0" w:noHBand="0" w:noVBand="1" w:val="04A0"/>
        <w:tblInd w:w="120" w:type="dxa"/>
      </w:tblPr>
      <w:tblGrid>
        <w:gridCol w:w="4680"/>
        <w:gridCol w:w="4680"/>
      </w:tblGrid>
      <w:tr>
        <w:trPr>
          <w:tblHeader w:val="true"/>
          <w:tblHeader w:val="true"/>
        </w:trPr>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Notice element</w:t>
            </w:r>
          </w:p>
        </w:tc>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Student wording</w:t>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Account identification</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Transaction facts</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Why error suspected</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Evidence</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Requested action</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Contact/date</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Privacy check</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bl>
    <w:p>
      <w:r>
        <w:t>Use partial identifiers only when appropriate for the communication method.</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Sequence an Account-Error Response</w:t>
      </w:r>
    </w:p>
    <w:p>
      <w:r>
        <w:t>Create a safe six-step process.</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Step</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Action</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Evidence/source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Why</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2</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3</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4</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5</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6</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Current provider instructions and legal timelines must be verified.</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Create a Secure Recordkeeping System</w:t>
      </w:r>
    </w:p>
    <w:p>
      <w:r>
        <w:t>Write 150–200 words with folders, naming, review, backup, retention, and disposal.</w:t>
      </w:r>
    </w:p>
    <w:tbl>
      <w:tblPr>
        <w:tblStyle w:val="TableGrid"/>
        <w:tblW w:type="dxa" w:w="9360"/>
        <w:jc w:val="center"/>
        <w:tblLayout w:type="fixed"/>
        <w:tblLook w:firstColumn="1" w:firstRow="1" w:lastColumn="0" w:lastRow="0" w:noHBand="0" w:noVBand="1" w:val="04A0"/>
        <w:tblInd w:w="120" w:type="dxa"/>
      </w:tblPr>
      <w:tblGrid>
        <w:gridCol w:w="4680"/>
        <w:gridCol w:w="4680"/>
      </w:tblGrid>
      <w:tr>
        <w:trPr>
          <w:tblHeader w:val="true"/>
          <w:tblHeader w:val="true"/>
        </w:trPr>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System element</w:t>
            </w:r>
          </w:p>
        </w:tc>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Rule/evidence</w:t>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Categories</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File naming</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Monthly review</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Backup</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Access</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Retention review</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Disposal</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Emergency index</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Avoid universal retention periods unless verified.</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