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INVESTMENT PRODUCTS</w:t>
      </w:r>
    </w:p>
    <w:p>
      <w:pPr>
        <w:pStyle w:val="Title"/>
      </w:pPr>
      <w:r>
        <w:t>Investment Fees and Long-Term Growth</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Fee impact analysis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Translate percentage fees into dollars, compare two simplified long-term projections, and explain why small annual cost differences can matter over time.</w:t>
            </w:r>
          </w:p>
        </w:tc>
      </w:tr>
    </w:tbl>
    <w:p>
      <w:pPr>
        <w:spacing w:after="0"/>
      </w:pPr>
    </w:p>
    <w:p>
      <w:pPr>
        <w:pStyle w:val="Heading1"/>
      </w:pPr>
      <w:r>
        <w:t>Fees Reduce the Money That Keeps Growing</w:t>
      </w:r>
    </w:p>
    <w:p>
      <w:r>
        <w:t>Investment products and services can charge transaction fees, account fees, advisory fees, sales charges, and annual operating expenses. Some fees are direct. Others are deducted from fund assets and reduce returns. Always compare total costs, not one number alone.</w:t>
      </w:r>
    </w:p>
    <w:tbl>
      <w:tblPr>
        <w:tblStyle w:val="TableGrid"/>
        <w:tblW w:type="dxa" w:w="9360"/>
        <w:jc w:val="center"/>
        <w:tblLayout w:type="fixed"/>
        <w:tblLook w:firstColumn="1" w:firstRow="1" w:lastColumn="0" w:lastRow="0" w:noHBand="0" w:noVBand="1" w:val="04A0"/>
        <w:tblInd w:w="120" w:type="dxa"/>
      </w:tblPr>
      <w:tblGrid>
        <w:gridCol w:w="1900"/>
        <w:gridCol w:w="4000"/>
        <w:gridCol w:w="3460"/>
      </w:tblGrid>
      <w:tr>
        <w:trPr>
          <w:tblHeader w:val="true"/>
        </w:trPr>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Fee type</w:t>
            </w:r>
          </w:p>
        </w:tc>
        <w:tc>
          <w:tcPr>
            <w:tcW w:type="dxa" w:w="400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c>
          <w:tcPr>
            <w:tcW w:type="dxa" w:w="3460"/>
            <w:shd w:fill="163A63"/>
            <w:tcMar>
              <w:top w:w="100" w:type="dxa"/>
              <w:start w:w="120" w:type="dxa"/>
              <w:bottom w:w="100" w:type="dxa"/>
              <w:end w:w="120" w:type="dxa"/>
            </w:tcMar>
            <w:vAlign w:val="center"/>
          </w:tcPr>
          <w:p>
            <w:pPr>
              <w:spacing w:after="0"/>
            </w:pPr>
            <w:r>
              <w:rPr>
                <w:rFonts w:ascii="Aptos" w:hAnsi="Aptos"/>
                <w:b/>
                <w:i w:val="0"/>
                <w:color w:val="FFFFFF"/>
                <w:sz w:val="16"/>
              </w:rPr>
              <w:t>Question to ask</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Expense ratio</w:t>
            </w:r>
          </w:p>
        </w:tc>
        <w:tc>
          <w:tcPr>
            <w:tcW w:type="dxa" w:w="4000"/>
            <w:tcMar>
              <w:top w:w="100" w:type="dxa"/>
              <w:start w:w="120" w:type="dxa"/>
              <w:bottom w:w="100" w:type="dxa"/>
              <w:end w:w="120" w:type="dxa"/>
            </w:tcMar>
            <w:vAlign w:val="center"/>
          </w:tcPr>
          <w:p>
            <w:pPr>
              <w:spacing w:after="0"/>
            </w:pPr>
            <w:r>
              <w:rPr>
                <w:rFonts w:ascii="Aptos" w:hAnsi="Aptos"/>
                <w:b w:val="0"/>
                <w:i w:val="0"/>
                <w:color w:val="1F2933"/>
                <w:sz w:val="16"/>
              </w:rPr>
              <w:t>Annual fund operating expenses stated as a percent of fund assets.</w:t>
            </w:r>
          </w:p>
        </w:tc>
        <w:tc>
          <w:tcPr>
            <w:tcW w:type="dxa" w:w="3460"/>
            <w:tcMar>
              <w:top w:w="100" w:type="dxa"/>
              <w:start w:w="120" w:type="dxa"/>
              <w:bottom w:w="100" w:type="dxa"/>
              <w:end w:w="120" w:type="dxa"/>
            </w:tcMar>
            <w:vAlign w:val="center"/>
          </w:tcPr>
          <w:p>
            <w:pPr>
              <w:spacing w:after="0"/>
            </w:pPr>
            <w:r>
              <w:rPr>
                <w:rFonts w:ascii="Aptos" w:hAnsi="Aptos"/>
                <w:b w:val="0"/>
                <w:i w:val="0"/>
                <w:color w:val="1F2933"/>
                <w:sz w:val="16"/>
              </w:rPr>
              <w:t>What is the total annual operating expense?</w:t>
            </w:r>
          </w:p>
        </w:tc>
      </w:tr>
      <w:tr>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Trading cost</w:t>
            </w:r>
          </w:p>
        </w:tc>
        <w:tc>
          <w:tcPr>
            <w:tcW w:type="dxa" w:w="4000"/>
            <w:shd w:fill="F4F6F8"/>
            <w:tcMar>
              <w:top w:w="100" w:type="dxa"/>
              <w:start w:w="120" w:type="dxa"/>
              <w:bottom w:w="100" w:type="dxa"/>
              <w:end w:w="120" w:type="dxa"/>
            </w:tcMar>
            <w:vAlign w:val="center"/>
          </w:tcPr>
          <w:p>
            <w:pPr>
              <w:spacing w:after="0"/>
            </w:pPr>
            <w:r>
              <w:rPr>
                <w:rFonts w:ascii="Aptos" w:hAnsi="Aptos"/>
                <w:b w:val="0"/>
                <w:i w:val="0"/>
                <w:color w:val="1F2933"/>
                <w:sz w:val="16"/>
              </w:rPr>
              <w:t>Cost connected to buying or selling.</w:t>
            </w:r>
          </w:p>
        </w:tc>
        <w:tc>
          <w:tcPr>
            <w:tcW w:type="dxa" w:w="3460"/>
            <w:shd w:fill="F4F6F8"/>
            <w:tcMar>
              <w:top w:w="100" w:type="dxa"/>
              <w:start w:w="120" w:type="dxa"/>
              <w:bottom w:w="100" w:type="dxa"/>
              <w:end w:w="120" w:type="dxa"/>
            </w:tcMar>
            <w:vAlign w:val="center"/>
          </w:tcPr>
          <w:p>
            <w:pPr>
              <w:spacing w:after="0"/>
            </w:pPr>
            <w:r>
              <w:rPr>
                <w:rFonts w:ascii="Aptos" w:hAnsi="Aptos"/>
                <w:b w:val="0"/>
                <w:i w:val="0"/>
                <w:color w:val="1F2933"/>
                <w:sz w:val="16"/>
              </w:rPr>
              <w:t>What will this trade cost?</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Account fee</w:t>
            </w:r>
          </w:p>
        </w:tc>
        <w:tc>
          <w:tcPr>
            <w:tcW w:type="dxa" w:w="4000"/>
            <w:tcMar>
              <w:top w:w="100" w:type="dxa"/>
              <w:start w:w="120" w:type="dxa"/>
              <w:bottom w:w="100" w:type="dxa"/>
              <w:end w:w="120" w:type="dxa"/>
            </w:tcMar>
            <w:vAlign w:val="center"/>
          </w:tcPr>
          <w:p>
            <w:pPr>
              <w:spacing w:after="0"/>
            </w:pPr>
            <w:r>
              <w:rPr>
                <w:rFonts w:ascii="Aptos" w:hAnsi="Aptos"/>
                <w:b w:val="0"/>
                <w:i w:val="0"/>
                <w:color w:val="1F2933"/>
                <w:sz w:val="16"/>
              </w:rPr>
              <w:t>Charge for maintaining or using an account.</w:t>
            </w:r>
          </w:p>
        </w:tc>
        <w:tc>
          <w:tcPr>
            <w:tcW w:type="dxa" w:w="3460"/>
            <w:tcMar>
              <w:top w:w="100" w:type="dxa"/>
              <w:start w:w="120" w:type="dxa"/>
              <w:bottom w:w="100" w:type="dxa"/>
              <w:end w:w="120" w:type="dxa"/>
            </w:tcMar>
            <w:vAlign w:val="center"/>
          </w:tcPr>
          <w:p>
            <w:pPr>
              <w:spacing w:after="0"/>
            </w:pPr>
            <w:r>
              <w:rPr>
                <w:rFonts w:ascii="Aptos" w:hAnsi="Aptos"/>
                <w:b w:val="0"/>
                <w:i w:val="0"/>
                <w:color w:val="1F2933"/>
                <w:sz w:val="16"/>
              </w:rPr>
              <w:t>Can it be avoided?</w:t>
            </w:r>
          </w:p>
        </w:tc>
      </w:tr>
      <w:tr>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Advisory fee</w:t>
            </w:r>
          </w:p>
        </w:tc>
        <w:tc>
          <w:tcPr>
            <w:tcW w:type="dxa" w:w="4000"/>
            <w:shd w:fill="F4F6F8"/>
            <w:tcMar>
              <w:top w:w="100" w:type="dxa"/>
              <w:start w:w="120" w:type="dxa"/>
              <w:bottom w:w="100" w:type="dxa"/>
              <w:end w:w="120" w:type="dxa"/>
            </w:tcMar>
            <w:vAlign w:val="center"/>
          </w:tcPr>
          <w:p>
            <w:pPr>
              <w:spacing w:after="0"/>
            </w:pPr>
            <w:r>
              <w:rPr>
                <w:rFonts w:ascii="Aptos" w:hAnsi="Aptos"/>
                <w:b w:val="0"/>
                <w:i w:val="0"/>
                <w:color w:val="1F2933"/>
                <w:sz w:val="16"/>
              </w:rPr>
              <w:t>Payment for ongoing investment advice or management.</w:t>
            </w:r>
          </w:p>
        </w:tc>
        <w:tc>
          <w:tcPr>
            <w:tcW w:type="dxa" w:w="3460"/>
            <w:shd w:fill="F4F6F8"/>
            <w:tcMar>
              <w:top w:w="100" w:type="dxa"/>
              <w:start w:w="120" w:type="dxa"/>
              <w:bottom w:w="100" w:type="dxa"/>
              <w:end w:w="120" w:type="dxa"/>
            </w:tcMar>
            <w:vAlign w:val="center"/>
          </w:tcPr>
          <w:p>
            <w:pPr>
              <w:spacing w:after="0"/>
            </w:pPr>
            <w:r>
              <w:rPr>
                <w:rFonts w:ascii="Aptos" w:hAnsi="Aptos"/>
                <w:b w:val="0"/>
                <w:i w:val="0"/>
                <w:color w:val="1F2933"/>
                <w:sz w:val="16"/>
              </w:rPr>
              <w:t>How is the professional paid?</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Sales load</w:t>
            </w:r>
          </w:p>
        </w:tc>
        <w:tc>
          <w:tcPr>
            <w:tcW w:type="dxa" w:w="4000"/>
            <w:tcMar>
              <w:top w:w="100" w:type="dxa"/>
              <w:start w:w="120" w:type="dxa"/>
              <w:bottom w:w="100" w:type="dxa"/>
              <w:end w:w="120" w:type="dxa"/>
            </w:tcMar>
            <w:vAlign w:val="center"/>
          </w:tcPr>
          <w:p>
            <w:pPr>
              <w:spacing w:after="0"/>
            </w:pPr>
            <w:r>
              <w:rPr>
                <w:rFonts w:ascii="Aptos" w:hAnsi="Aptos"/>
                <w:b w:val="0"/>
                <w:i w:val="0"/>
                <w:color w:val="1F2933"/>
                <w:sz w:val="16"/>
              </w:rPr>
              <w:t>Sales charge on certain fund transactions.</w:t>
            </w:r>
          </w:p>
        </w:tc>
        <w:tc>
          <w:tcPr>
            <w:tcW w:type="dxa" w:w="3460"/>
            <w:tcMar>
              <w:top w:w="100" w:type="dxa"/>
              <w:start w:w="120" w:type="dxa"/>
              <w:bottom w:w="100" w:type="dxa"/>
              <w:end w:w="120" w:type="dxa"/>
            </w:tcMar>
            <w:vAlign w:val="center"/>
          </w:tcPr>
          <w:p>
            <w:pPr>
              <w:spacing w:after="0"/>
            </w:pPr>
            <w:r>
              <w:rPr>
                <w:rFonts w:ascii="Aptos" w:hAnsi="Aptos"/>
                <w:b w:val="0"/>
                <w:i w:val="0"/>
                <w:color w:val="1F2933"/>
                <w:sz w:val="16"/>
              </w:rPr>
              <w:t>When and how is it charged?</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MODEL LIMIT  </w:t>
            </w:r>
            <w:r>
              <w:rPr>
                <w:rFonts w:ascii="Aptos" w:hAnsi="Aptos"/>
                <w:b w:val="0"/>
                <w:i w:val="0"/>
                <w:color w:val="1F2933"/>
                <w:sz w:val="20"/>
              </w:rPr>
              <w:t>The projections use a simplified net rate: gross return minus annual fee. Real returns change, and fee calculation methods vary.</w:t>
            </w:r>
          </w:p>
        </w:tc>
      </w:tr>
    </w:tbl>
    <w:p>
      <w:pPr>
        <w:spacing w:after="0"/>
      </w:pPr>
    </w:p>
    <w:p>
      <w:pPr>
        <w:spacing w:before="0" w:after="0" w:line="20" w:lineRule="exact"/>
      </w:pPr>
      <w:r>
        <w:rPr>
          <w:rFonts w:ascii="Aptos" w:hAnsi="Aptos"/>
          <w:b w:val="0"/>
          <w:i w:val="0"/>
          <w:color w:val="1F2933"/>
          <w:sz w:val="2"/>
        </w:rPr>
        <w:br w:type="page"/>
      </w:r>
    </w:p>
    <w:p>
      <w:pPr>
        <w:pStyle w:val="Heading1"/>
      </w:pPr>
      <w:r>
        <w:t>Part 1 - Convert Percentages to Dollars</w:t>
      </w:r>
    </w:p>
    <w:tbl>
      <w:tblPr>
        <w:tblStyle w:val="TableGrid"/>
        <w:tblW w:type="dxa" w:w="9360"/>
        <w:jc w:val="center"/>
        <w:tblLayout w:type="fixed"/>
        <w:tblLook w:firstColumn="1" w:firstRow="1" w:lastColumn="0" w:lastRow="0" w:noHBand="0" w:noVBand="1" w:val="04A0"/>
        <w:tblInd w:w="120" w:type="dxa"/>
      </w:tblPr>
      <w:tblGrid>
        <w:gridCol w:w="2300"/>
        <w:gridCol w:w="2000"/>
        <w:gridCol w:w="2400"/>
        <w:gridCol w:w="2660"/>
      </w:tblGrid>
      <w:tr>
        <w:trPr>
          <w:tblHeader w:val="true"/>
        </w:trPr>
        <w:tc>
          <w:tcPr>
            <w:tcW w:type="dxa" w:w="2300"/>
            <w:shd w:fill="163A63"/>
            <w:tcMar>
              <w:top w:w="100" w:type="dxa"/>
              <w:start w:w="120" w:type="dxa"/>
              <w:bottom w:w="100" w:type="dxa"/>
              <w:end w:w="120" w:type="dxa"/>
            </w:tcMar>
            <w:vAlign w:val="center"/>
          </w:tcPr>
          <w:p>
            <w:pPr>
              <w:spacing w:after="0"/>
            </w:pPr>
            <w:r>
              <w:rPr>
                <w:rFonts w:ascii="Aptos" w:hAnsi="Aptos"/>
                <w:b/>
                <w:i w:val="0"/>
                <w:color w:val="FFFFFF"/>
                <w:sz w:val="16"/>
              </w:rPr>
              <w:t>Average balance</w:t>
            </w:r>
          </w:p>
        </w:tc>
        <w:tc>
          <w:tcPr>
            <w:tcW w:type="dxa" w:w="2000"/>
            <w:shd w:fill="163A63"/>
            <w:tcMar>
              <w:top w:w="100" w:type="dxa"/>
              <w:start w:w="120" w:type="dxa"/>
              <w:bottom w:w="100" w:type="dxa"/>
              <w:end w:w="120" w:type="dxa"/>
            </w:tcMar>
            <w:vAlign w:val="center"/>
          </w:tcPr>
          <w:p>
            <w:pPr>
              <w:spacing w:after="0"/>
            </w:pPr>
            <w:r>
              <w:rPr>
                <w:rFonts w:ascii="Aptos" w:hAnsi="Aptos"/>
                <w:b/>
                <w:i w:val="0"/>
                <w:color w:val="FFFFFF"/>
                <w:sz w:val="16"/>
              </w:rPr>
              <w:t>Annual fee rate</w:t>
            </w:r>
          </w:p>
        </w:tc>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6"/>
              </w:rPr>
              <w:t>Estimated annual fee</w:t>
            </w:r>
          </w:p>
        </w:tc>
        <w:tc>
          <w:tcPr>
            <w:tcW w:type="dxa" w:w="2660"/>
            <w:shd w:fill="163A63"/>
            <w:tcMar>
              <w:top w:w="100" w:type="dxa"/>
              <w:start w:w="120" w:type="dxa"/>
              <w:bottom w:w="100" w:type="dxa"/>
              <w:end w:w="120" w:type="dxa"/>
            </w:tcMar>
            <w:vAlign w:val="center"/>
          </w:tcPr>
          <w:p>
            <w:pPr>
              <w:spacing w:after="0"/>
            </w:pPr>
            <w:r>
              <w:rPr>
                <w:rFonts w:ascii="Aptos" w:hAnsi="Aptos"/>
                <w:b/>
                <w:i w:val="0"/>
                <w:color w:val="FFFFFF"/>
                <w:sz w:val="16"/>
              </w:rPr>
              <w:t>Balance left before market change</w:t>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t>$2,000</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t>0.25%</w:t>
            </w:r>
          </w:p>
        </w:tc>
        <w:tc>
          <w:tcPr>
            <w:tcW w:type="dxa" w:w="2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t>$2,000</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t>$10,000</w:t>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t>0.25%</w:t>
            </w:r>
          </w:p>
        </w:tc>
        <w:tc>
          <w:tcPr>
            <w:tcW w:type="dxa" w:w="2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t>$10,000</w:t>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Convert each percent to a decimal and multiply by the average balance. Compare the $10,000 results.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Project Two Simplified Portfolios</w:t>
      </w:r>
    </w:p>
    <w:p>
      <w:r>
        <w:t>Both fictional portfolios begin with $10,000 and earn a 6% gross annual return before fees. Portfolio L charges 0.25%; Portfolio H charges 1.00%. Use net rates of 5.75% and 5.00%.</w:t>
      </w:r>
    </w:p>
    <w:tbl>
      <w:tblPr>
        <w:tblStyle w:val="TableGrid"/>
        <w:tblW w:type="dxa" w:w="9360"/>
        <w:jc w:val="center"/>
        <w:tblLayout w:type="fixed"/>
        <w:tblLook w:firstColumn="1" w:firstRow="1" w:lastColumn="0" w:lastRow="0" w:noHBand="0" w:noVBand="1" w:val="04A0"/>
        <w:tblInd w:w="120" w:type="dxa"/>
      </w:tblPr>
      <w:tblGrid>
        <w:gridCol w:w="1800"/>
        <w:gridCol w:w="2800"/>
        <w:gridCol w:w="2800"/>
        <w:gridCol w:w="1960"/>
      </w:tblGrid>
      <w:tr>
        <w:trPr>
          <w:tblHeader w:val="true"/>
        </w:trPr>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Year</w:t>
            </w:r>
          </w:p>
        </w:tc>
        <w:tc>
          <w:tcPr>
            <w:tcW w:type="dxa" w:w="2800"/>
            <w:shd w:fill="163A63"/>
            <w:tcMar>
              <w:top w:w="100" w:type="dxa"/>
              <w:start w:w="120" w:type="dxa"/>
              <w:bottom w:w="100" w:type="dxa"/>
              <w:end w:w="120" w:type="dxa"/>
            </w:tcMar>
            <w:vAlign w:val="center"/>
          </w:tcPr>
          <w:p>
            <w:pPr>
              <w:spacing w:after="0"/>
            </w:pPr>
            <w:r>
              <w:rPr>
                <w:rFonts w:ascii="Aptos" w:hAnsi="Aptos"/>
                <w:b/>
                <w:i w:val="0"/>
                <w:color w:val="FFFFFF"/>
                <w:sz w:val="16"/>
              </w:rPr>
              <w:t>Portfolio L at 5.75%</w:t>
            </w:r>
          </w:p>
        </w:tc>
        <w:tc>
          <w:tcPr>
            <w:tcW w:type="dxa" w:w="2800"/>
            <w:shd w:fill="163A63"/>
            <w:tcMar>
              <w:top w:w="100" w:type="dxa"/>
              <w:start w:w="120" w:type="dxa"/>
              <w:bottom w:w="100" w:type="dxa"/>
              <w:end w:w="120" w:type="dxa"/>
            </w:tcMar>
            <w:vAlign w:val="center"/>
          </w:tcPr>
          <w:p>
            <w:pPr>
              <w:spacing w:after="0"/>
            </w:pPr>
            <w:r>
              <w:rPr>
                <w:rFonts w:ascii="Aptos" w:hAnsi="Aptos"/>
                <w:b/>
                <w:i w:val="0"/>
                <w:color w:val="FFFFFF"/>
                <w:sz w:val="16"/>
              </w:rPr>
              <w:t>Portfolio H at 5.00%</w:t>
            </w:r>
          </w:p>
        </w:tc>
        <w:tc>
          <w:tcPr>
            <w:tcW w:type="dxa" w:w="1960"/>
            <w:shd w:fill="163A63"/>
            <w:tcMar>
              <w:top w:w="100" w:type="dxa"/>
              <w:start w:w="120" w:type="dxa"/>
              <w:bottom w:w="100" w:type="dxa"/>
              <w:end w:w="120" w:type="dxa"/>
            </w:tcMar>
            <w:vAlign w:val="center"/>
          </w:tcPr>
          <w:p>
            <w:pPr>
              <w:spacing w:after="0"/>
            </w:pPr>
            <w:r>
              <w:rPr>
                <w:rFonts w:ascii="Aptos" w:hAnsi="Aptos"/>
                <w:b/>
                <w:i w:val="0"/>
                <w:color w:val="FFFFFF"/>
                <w:sz w:val="16"/>
              </w:rPr>
              <w:t>Difference</w:t>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$10,000.00</w:t>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$10,000.00</w:t>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6"/>
              </w:rPr>
              <w:t>$0</w:t>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5</w:t>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20</w:t>
            </w:r>
          </w:p>
        </w:tc>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a calculator with future value = principal x (1 + net rate)^years. Round to cents.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Explain the Compounding Effect</w:t>
      </w:r>
    </w:p>
    <w:tbl>
      <w:tblPr>
        <w:tblStyle w:val="TableGrid"/>
        <w:tblW w:type="dxa" w:w="9260"/>
        <w:jc w:val="center"/>
        <w:tblLayout w:type="fixed"/>
        <w:tblLook w:firstColumn="1" w:firstRow="1" w:lastColumn="0" w:lastRow="0" w:noHBand="0" w:noVBand="1" w:val="04A0"/>
        <w:tblInd w:w="120" w:type="dxa"/>
      </w:tblPr>
      <w:tblGrid>
        <w:gridCol w:w="3900"/>
        <w:gridCol w:w="3300"/>
        <w:gridCol w:w="20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3300"/>
            <w:shd w:fill="163A63"/>
            <w:tcMar>
              <w:top w:w="100" w:type="dxa"/>
              <w:start w:w="120" w:type="dxa"/>
              <w:bottom w:w="100" w:type="dxa"/>
              <w:end w:w="120" w:type="dxa"/>
            </w:tcMar>
            <w:vAlign w:val="center"/>
          </w:tcPr>
          <w:p>
            <w:pPr>
              <w:spacing w:after="0"/>
            </w:pPr>
            <w:r>
              <w:rPr>
                <w:rFonts w:ascii="Aptos" w:hAnsi="Aptos"/>
                <w:b/>
                <w:i w:val="0"/>
                <w:color w:val="FFFFFF"/>
                <w:sz w:val="16"/>
              </w:rPr>
              <w:t>Calculation or evidence</w:t>
            </w:r>
          </w:p>
        </w:tc>
        <w:tc>
          <w:tcPr>
            <w:tcW w:type="dxa" w:w="2060"/>
            <w:shd w:fill="163A63"/>
            <w:tcMar>
              <w:top w:w="100" w:type="dxa"/>
              <w:start w:w="120" w:type="dxa"/>
              <w:bottom w:w="100" w:type="dxa"/>
              <w:end w:w="120" w:type="dxa"/>
            </w:tcMar>
            <w:vAlign w:val="center"/>
          </w:tcPr>
          <w:p>
            <w:pPr>
              <w:spacing w:after="0"/>
            </w:pPr>
            <w:r>
              <w:rPr>
                <w:rFonts w:ascii="Aptos" w:hAnsi="Aptos"/>
                <w:b/>
                <w:i w:val="0"/>
                <w:color w:val="FFFFFF"/>
                <w:sz w:val="16"/>
              </w:rPr>
              <w:t>Answer</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Portfolio L value after 20 years</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Portfolio H value after 20 years</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20-year dollar difference</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Gross 6% value with no fee in this model</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Why the difference grows over time</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a fee affects both money today and the future growth that money could have earned.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Read a Fictional Fee Disclosure</w:t>
      </w:r>
    </w:p>
    <w:tbl>
      <w:tblPr>
        <w:tblStyle w:val="TableGrid"/>
        <w:tblW w:type="dxa" w:w="9360"/>
        <w:jc w:val="center"/>
        <w:tblLayout w:type="fixed"/>
        <w:tblLook w:firstColumn="1" w:firstRow="1" w:lastColumn="0" w:lastRow="0" w:noHBand="0" w:noVBand="1" w:val="04A0"/>
        <w:tblInd w:w="120" w:type="dxa"/>
      </w:tblPr>
      <w:tblGrid>
        <w:gridCol w:w="2200"/>
        <w:gridCol w:w="1700"/>
        <w:gridCol w:w="1700"/>
        <w:gridCol w:w="3760"/>
      </w:tblGrid>
      <w:tr>
        <w:trPr>
          <w:tblHeader w:val="true"/>
        </w:trPr>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6"/>
              </w:rPr>
              <w:t>Disclosure item</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Fund A</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Fund B</w:t>
            </w:r>
          </w:p>
        </w:tc>
        <w:tc>
          <w:tcPr>
            <w:tcW w:type="dxa" w:w="3760"/>
            <w:shd w:fill="163A63"/>
            <w:tcMar>
              <w:top w:w="100" w:type="dxa"/>
              <w:start w:w="120" w:type="dxa"/>
              <w:bottom w:w="100" w:type="dxa"/>
              <w:end w:w="120" w:type="dxa"/>
            </w:tcMar>
            <w:vAlign w:val="center"/>
          </w:tcPr>
          <w:p>
            <w:pPr>
              <w:spacing w:after="0"/>
            </w:pPr>
            <w:r>
              <w:rPr>
                <w:rFonts w:ascii="Aptos" w:hAnsi="Aptos"/>
                <w:b/>
                <w:i w:val="0"/>
                <w:color w:val="FFFFFF"/>
                <w:sz w:val="16"/>
              </w:rPr>
              <w:t>Question or concern</w:t>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Expense ratio</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0.35%</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0.20%</w:t>
            </w:r>
          </w:p>
        </w:tc>
        <w:tc>
          <w:tcPr>
            <w:tcW w:type="dxa" w:w="3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Account fee</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$25 yearly</w:t>
            </w:r>
          </w:p>
        </w:tc>
        <w:tc>
          <w:tcPr>
            <w:tcW w:type="dxa" w:w="3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Trade cost</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$1 per trade</w:t>
            </w:r>
          </w:p>
        </w:tc>
        <w:tc>
          <w:tcPr>
            <w:tcW w:type="dxa" w:w="3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Planned trades</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12 yearly</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12 yearly</w:t>
            </w:r>
          </w:p>
        </w:tc>
        <w:tc>
          <w:tcPr>
            <w:tcW w:type="dxa" w:w="3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Average balance</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$3,000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$3,000</w:t>
            </w:r>
          </w:p>
        </w:tc>
        <w:tc>
          <w:tcPr>
            <w:tcW w:type="dxa" w:w="3760"/>
            <w:tcMar>
              <w:top w:w="100" w:type="dxa"/>
              <w:start w:w="120" w:type="dxa"/>
              <w:bottom w:w="100" w:type="dxa"/>
              <w:end w:w="120" w:type="dxa"/>
            </w:tcMar>
            <w:vAlign w:val="center"/>
          </w:tcPr>
          <w:p>
            <w:pPr>
              <w:spacing w:after="0"/>
            </w:pPr>
            <w:r>
              <w:rPr>
                <w:rFonts w:ascii="Aptos" w:hAnsi="Aptos"/>
                <w:b w:val="0"/>
                <w:i w:val="0"/>
                <w:color w:val="1F2933"/>
                <w:sz w:val="16"/>
              </w:rPr>
            </w:r>
          </w:p>
        </w:tc>
      </w:tr>
    </w:tbl>
    <w:p>
      <w:r>
        <w:t>Estimate one year of the listed costs for each fund. Which is lower under these facts? What could change the answer?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Fee Comparison Brief</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7"/>
              </w:rPr>
              <w:t>Decision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7"/>
              </w:rPr>
              <w:t>My 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Gross return assumption</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Annual fee rate</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Dollar fee estimate</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Long-term projection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Account and trading costs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Investment objective and holdings</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Break-even question</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Source document to review</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brief. Include the 20-year projections, dollar difference, Fund A/Fund B cost estimate, a compounding explanation, and two questions an investor should ask.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