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rFonts w:ascii="Aptos" w:hAnsi="Aptos"/>
          <w:b/>
          <w:i w:val="0"/>
          <w:color w:val="D89A2B"/>
          <w:sz w:val="18"/>
        </w:rPr>
        <w:t>ECONOMIC INDICATORS AND POLICY</w:t>
      </w:r>
    </w:p>
    <w:p>
      <w:pPr>
        <w:pStyle w:val="Title"/>
      </w:pPr>
      <w:r>
        <w:t>Interpreting Labor-Force and Unemployment Data</w:t>
      </w:r>
    </w:p>
    <w:p>
      <w:pPr>
        <w:pStyle w:val="Subtitle"/>
      </w:pPr>
      <w:r>
        <w:t>Detailed practice, calculation, decision-making, and assessment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</w:trP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GRADES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9-12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TIME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2 x 42 min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GROUPING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I / pairs / whole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PRODUCT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Brief</w:t>
            </w:r>
          </w:p>
        </w:tc>
      </w:tr>
    </w:tbl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tblHeader w:val="true"/>
        </w:trP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63A63"/>
                <w:sz w:val="20"/>
              </w:rPr>
              <w:t xml:space="preserve">YOUR CHALLENGE  </w:t>
            </w:r>
            <w:r>
              <w:rPr>
                <w:rFonts w:ascii="Aptos" w:hAnsi="Aptos"/>
                <w:b w:val="0"/>
                <w:i w:val="0"/>
                <w:color w:val="1F2933"/>
                <w:sz w:val="20"/>
              </w:rPr>
              <w:t>Classify labor-force status, calculate major rates, analyze changes, and write a qualified labor-market brief.</w:t>
            </w:r>
          </w:p>
        </w:tc>
      </w:tr>
    </w:tbl>
    <w:p>
      <w:pPr>
        <w:spacing w:after="0"/>
      </w:pPr>
    </w:p>
    <w:p>
      <w:pPr>
        <w:pStyle w:val="Heading1"/>
      </w:pPr>
      <w:r>
        <w:t>Economic Indicators Are Clues That Must Be Defined, Calculated, and Interpreted Together</w:t>
      </w:r>
    </w:p>
    <w:p>
      <w:r>
        <w:t>The unemployment rate does not count every person without a job. It uses the labor force—employed plus unemployed people who meet active-search and availability definitions. Participation and the employment-population ratio help provide additional context.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600"/>
        <w:gridCol w:w="6760"/>
      </w:tblGrid>
      <w:tr>
        <w:trPr>
          <w:tblHeader w:val="true"/>
          <w:tblHeader w:val="true"/>
        </w:trPr>
        <w:tc>
          <w:tcPr>
            <w:tcW w:type="dxa" w:w="26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Term</w:t>
            </w:r>
          </w:p>
        </w:tc>
        <w:tc>
          <w:tcPr>
            <w:tcW w:type="dxa" w:w="67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Student-friendly meaning</w:t>
            </w:r>
          </w:p>
        </w:tc>
      </w:tr>
      <w:tr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Employed</w:t>
            </w:r>
          </w:p>
        </w:tc>
        <w:tc>
          <w:tcPr>
            <w:tcW w:type="dxa" w:w="6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Person who meets the survey definition of working or temporary absence from a job.</w:t>
            </w:r>
          </w:p>
        </w:tc>
      </w:tr>
      <w:tr>
        <w:tc>
          <w:tcPr>
            <w:tcW w:type="dxa" w:w="2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Unemployed</w:t>
            </w:r>
          </w:p>
        </w:tc>
        <w:tc>
          <w:tcPr>
            <w:tcW w:type="dxa" w:w="6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Jobless person who actively sought work and is available under the survey definition.</w:t>
            </w:r>
          </w:p>
        </w:tc>
      </w:tr>
      <w:tr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Not in labor force</w:t>
            </w:r>
          </w:p>
        </w:tc>
        <w:tc>
          <w:tcPr>
            <w:tcW w:type="dxa" w:w="6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Person classified as neither employed nor unemployed.</w:t>
            </w:r>
          </w:p>
        </w:tc>
      </w:tr>
      <w:tr>
        <w:tc>
          <w:tcPr>
            <w:tcW w:type="dxa" w:w="2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Labor force</w:t>
            </w:r>
          </w:p>
        </w:tc>
        <w:tc>
          <w:tcPr>
            <w:tcW w:type="dxa" w:w="6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Employed plus unemployed.</w:t>
            </w:r>
          </w:p>
        </w:tc>
      </w:tr>
      <w:tr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Participation rate</w:t>
            </w:r>
          </w:p>
        </w:tc>
        <w:tc>
          <w:tcPr>
            <w:tcW w:type="dxa" w:w="6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Labor force divided by working-age civilian noninstitutional population.</w:t>
            </w:r>
          </w:p>
        </w:tc>
      </w:tr>
      <w:tr>
        <w:tc>
          <w:tcPr>
            <w:tcW w:type="dxa" w:w="2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Employment-population ratio</w:t>
            </w:r>
          </w:p>
        </w:tc>
        <w:tc>
          <w:tcPr>
            <w:tcW w:type="dxa" w:w="6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Employed divided by that population.</w:t>
            </w:r>
          </w:p>
        </w:tc>
      </w:tr>
    </w:tbl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tblHeader w:val="true"/>
        </w:trP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63A63"/>
                <w:sz w:val="20"/>
              </w:rPr>
              <w:t xml:space="preserve">CLASSROOM USE  </w:t>
            </w:r>
            <w:r>
              <w:rPr>
                <w:rFonts w:ascii="Aptos" w:hAnsi="Aptos"/>
                <w:b w:val="0"/>
                <w:i w:val="0"/>
                <w:color w:val="1F2933"/>
                <w:sz w:val="20"/>
              </w:rPr>
              <w:t>All people, employers, figures, brackets, and documents in this packet are fictional. Never place a real Social Security number, employer ID, bank number, or tax document in classroom work.</w:t>
            </w:r>
          </w:p>
        </w:tc>
      </w:tr>
    </w:tbl>
    <w:p>
      <w:pPr>
        <w:spacing w:after="0"/>
      </w:pP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1 - Classify Labor-Force Status</w:t>
      </w:r>
    </w:p>
    <w:p>
      <w:r>
        <w:t>Use the simplified official-style definitions: employed; unemployed and actively seeking/available; or not in labor force.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  <w:tblHeader w:val="true"/>
        </w:trPr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Person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Scenario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Status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Reason/evidence</w:t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Worked 12 paid hours last week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B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No job; applied to three jobs; available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No job; wants work; no search in four months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D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Temporarily absent from a job due to illness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E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Full-time student; no job and not seeking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Classify the person, not the quality or amount of work.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2 - Calculate Three Labor-Market Measures</w:t>
      </w:r>
    </w:p>
    <w:p>
      <w:r>
        <w:t>A fictional town has 10,000 working-age people: 5,700 employed, 300 unemployed, and 4,000 not in the labor force.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3120"/>
        <w:gridCol w:w="3120"/>
        <w:gridCol w:w="3120"/>
      </w:tblGrid>
      <w:tr>
        <w:trPr>
          <w:tblHeader w:val="true"/>
          <w:tblHeader w:val="true"/>
        </w:trPr>
        <w:tc>
          <w:tcPr>
            <w:tcW w:type="dxa" w:w="312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Measure</w:t>
            </w:r>
          </w:p>
        </w:tc>
        <w:tc>
          <w:tcPr>
            <w:tcW w:type="dxa" w:w="312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Formula</w:t>
            </w:r>
          </w:p>
        </w:tc>
        <w:tc>
          <w:tcPr>
            <w:tcW w:type="dxa" w:w="312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Result</w:t>
            </w:r>
          </w:p>
        </w:tc>
      </w:tr>
      <w:tr>
        <w:tc>
          <w:tcPr>
            <w:tcW w:type="dxa" w:w="31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Labor force</w:t>
            </w:r>
          </w:p>
        </w:tc>
        <w:tc>
          <w:tcPr>
            <w:tcW w:type="dxa" w:w="31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31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312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Unemployment rate</w:t>
            </w:r>
          </w:p>
        </w:tc>
        <w:tc>
          <w:tcPr>
            <w:tcW w:type="dxa" w:w="312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312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31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Participation rate</w:t>
            </w:r>
          </w:p>
        </w:tc>
        <w:tc>
          <w:tcPr>
            <w:tcW w:type="dxa" w:w="31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31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312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Employment-population ratio</w:t>
            </w:r>
          </w:p>
        </w:tc>
        <w:tc>
          <w:tcPr>
            <w:tcW w:type="dxa" w:w="312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312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Use the correct denominator for each rate.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3 - Analyze a Change in Status</w:t>
      </w:r>
    </w:p>
    <w:p>
      <w:r>
        <w:t>Next month: employed falls to 5,650; unemployed falls to 250; not in labor force rises to 4,100.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  <w:tblHeader w:val="true"/>
        </w:trPr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Measure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Month 1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Month 2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Change</w:t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Labor force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Unemployment rate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Participation rate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Employment-population ratio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Can the unemployment rate fall while employment also falls? Explain using the classifications.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4 - Evaluate Labor-Market Claims</w:t>
      </w:r>
    </w:p>
    <w:p>
      <w:r>
        <w:t>Decide whether each claim is supported.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  <w:tblHeader w:val="true"/>
        </w:trPr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Claim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Supported?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Evidence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Missing context</w:t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 lower unemployment rate always means more people work.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Participation fell in Month 2.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Everyone without a job is unemployed.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Employment-population ratio adds useful context.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One month proves a long-term trend.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Rewrite every unsupported claim so it becomes accurate.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5 - Write a Labor-Market Data Brief</w:t>
      </w:r>
    </w:p>
    <w:p>
      <w:r>
        <w:t>Explain what changed and what cannot be concluded.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4680"/>
        <w:gridCol w:w="4680"/>
      </w:tblGrid>
      <w:tr>
        <w:trPr>
          <w:tblHeader w:val="true"/>
          <w:tblHeader w:val="true"/>
        </w:trPr>
        <w:tc>
          <w:tcPr>
            <w:tcW w:type="dxa" w:w="468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Brief check</w:t>
            </w:r>
          </w:p>
        </w:tc>
        <w:tc>
          <w:tcPr>
            <w:tcW w:type="dxa" w:w="468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My evidence</w:t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Employment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Unemployment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Labor force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Unemployment rate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Participation rate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Employment-population ratio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Classification explanation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Qualified conclusion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Write 150-200 words using at least six figures and two limitations.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headerReference w:type="first" r:id="rId11"/>
      <w:footerReference w:type="first" r:id="rId12"/>
      <w:headerReference w:type="even" r:id="rId13"/>
      <w:footerReference w:type="even" r:id="rId14"/>
      <w:pgSz w:w="12240" w:h="15840"/>
      <w:pgMar w:top="1037" w:right="1123" w:bottom="979" w:left="1123" w:header="432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Arial" w:hAnsi="Arial"/>
        <w:b/>
        <w:color w:val="0F3669"/>
        <w:sz w:val="15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  <w:p>
    <w:pPr>
      <w:jc w:val="center"/>
    </w:pPr>
    <w:r>
      <w:rPr>
        <w:rFonts w:ascii="Arial" w:hAnsi="Arial"/>
        <w:color w:val="4B5563"/>
        <w:sz w:val="14"/>
      </w:rPr>
    </w:r>
  </w:p>
  <w:p>
    <w:pPr>
      <w:jc w:val="center"/>
    </w:pPr>
    <w:r>
      <w:rPr>
        <w:rFonts w:ascii="Arial" w:hAnsi="Arial"/>
        <w:color w:val="073B82"/>
        <w:sz w:val="14"/>
      </w:rPr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Aptos" w:hAnsi="Aptos"/>
        <w:b/>
        <w:i w:val="0"/>
        <w:color w:val="163A63"/>
        <w:sz w:val="18"/>
      </w:rPr>
      <w:t>CFMNY.org</w:t>
    </w:r>
    <w:r>
      <w:rPr>
        <w:rFonts w:ascii="Aptos" w:hAnsi="Aptos"/>
        <w:b w:val="0"/>
        <w:i w:val="0"/>
        <w:color w:val="5F6B76"/>
        <w:sz w:val="18"/>
      </w:rPr>
      <w:t xml:space="preserve">  |  Student Learning Packet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ptos" w:hAnsi="Aptos"/>
      <w:color w:val="1F29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63A63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00"/>
      <w:outlineLvl w:val="1"/>
    </w:pPr>
    <w:rPr>
      <w:rFonts w:asciiTheme="majorHAnsi" w:eastAsiaTheme="majorEastAsia" w:hAnsiTheme="majorHAnsi" w:cstheme="majorBidi" w:ascii="Aptos" w:hAnsi="Aptos"/>
      <w:b/>
      <w:bCs/>
      <w:color w:val="2E5D89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ptos" w:hAnsi="Aptos"/>
      <w:b/>
      <w:bCs/>
      <w:color w:val="163A63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2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163A63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200"/>
    </w:pPr>
    <w:rPr>
      <w:rFonts w:asciiTheme="majorHAnsi" w:eastAsiaTheme="majorEastAsia" w:hAnsiTheme="majorHAnsi" w:cstheme="majorBidi" w:ascii="Aptos" w:hAnsi="Aptos"/>
      <w:b w:val="0"/>
      <w:i/>
      <w:iCs/>
      <w:color w:val="5F6B76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 w:line="269" w:lineRule="auto"/>
      <w:ind w:left="547" w:hanging="274"/>
      <w:contextualSpacing/>
    </w:pPr>
    <w:rPr>
      <w:rFonts w:ascii="Aptos" w:hAnsi="Aptos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 w:line="269" w:lineRule="auto"/>
      <w:ind w:left="547" w:hanging="274"/>
      <w:contextualSpacing/>
    </w:pPr>
    <w:rPr>
      <w:rFonts w:ascii="Aptos" w:hAnsi="Aptos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