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INTERNATIONAL ECONOMICS</w:t>
      </w:r>
    </w:p>
    <w:p>
      <w:pPr>
        <w:pStyle w:val="Title"/>
      </w:pPr>
      <w:r>
        <w:t>Evaluating Supply-Chain Risk and Resilience</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Brief</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Map lead time, score risks, compare resilience investments, stress-test a disruption, and recommend a budget-feasible strategy.</w:t>
            </w:r>
          </w:p>
        </w:tc>
      </w:tr>
    </w:tbl>
    <w:p>
      <w:pPr>
        <w:spacing w:after="0"/>
      </w:pPr>
    </w:p>
    <w:p>
      <w:pPr>
        <w:pStyle w:val="Heading1"/>
      </w:pPr>
      <w:r>
        <w:t>International Choices Link Opportunity Cost, Currency Values, and Supply-Chain Risk</w:t>
      </w:r>
    </w:p>
    <w:p>
      <w:r>
        <w:t>A low-cost supply chain may be fragile if it depends on one supplier, route, port, currency, or forecast. Resilience can require higher normal costs in exchange for faster recovery, alternative sources, visibility, quality control, or inventory protection.</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Term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6"/>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Supply chain</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Connected steps used to source, make, move, and deliver a product.</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Lead time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Elapsed time from order or step start to availability.</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Single-source risk</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Dependence on one supplier for an important input.</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Safety stock</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Extra inventory held to reduce stockout risk.</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6"/>
              </w:rPr>
              <w:t>Resilience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6"/>
              </w:rPr>
              <w:t>Ability to prepare for, respond to, and recover from disruption.</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t>Landed cost</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6"/>
              </w:rPr>
              <w:t>Purchase price plus stated costs of bringing an item to its destination.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USE  </w:t>
            </w:r>
            <w:r>
              <w:rPr>
                <w:rFonts w:ascii="Aptos" w:hAnsi="Aptos"/>
                <w:b w:val="0"/>
                <w:i w:val="0"/>
                <w:color w:val="1F2933"/>
                <w:sz w:val="20"/>
              </w:rPr>
              <w:t>All people, employers, figures, brackets, and documents in this packet are fictional. Never place a real Social Security number, employer ID, bank number, or tax document in classroom work.</w:t>
            </w:r>
          </w:p>
        </w:tc>
      </w:tr>
    </w:tbl>
    <w:p>
      <w:pPr>
        <w:spacing w:after="0"/>
      </w:pPr>
    </w:p>
    <w:p>
      <w:pPr>
        <w:spacing w:before="0" w:after="0" w:line="20" w:lineRule="exact"/>
      </w:pPr>
      <w:r>
        <w:rPr>
          <w:rFonts w:ascii="Aptos" w:hAnsi="Aptos"/>
          <w:b w:val="0"/>
          <w:i w:val="0"/>
          <w:color w:val="1F2933"/>
          <w:sz w:val="2"/>
        </w:rPr>
        <w:br w:type="page"/>
      </w:r>
    </w:p>
    <w:p>
      <w:pPr>
        <w:pStyle w:val="Heading1"/>
      </w:pPr>
      <w:r>
        <w:t>Part 1 - Map a Fictional Supply Chain</w:t>
      </w:r>
    </w:p>
    <w:p>
      <w:r>
        <w:t>A school store orders calculators. Identify each step and dependency.</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blHeader w:val="true"/>
        </w:trPr>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Step</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Location/lead time</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Key dependency</w:t>
            </w:r>
          </w:p>
        </w:tc>
        <w:tc>
          <w:tcPr>
            <w:tcW w:type="dxa" w:w="2340"/>
            <w:shd w:fill="163A63"/>
            <w:tcMar>
              <w:top w:w="100" w:type="dxa"/>
              <w:start w:w="120" w:type="dxa"/>
              <w:bottom w:w="100" w:type="dxa"/>
              <w:end w:w="120" w:type="dxa"/>
            </w:tcMar>
            <w:vAlign w:val="center"/>
          </w:tcPr>
          <w:p>
            <w:pPr>
              <w:spacing w:after="0"/>
            </w:pPr>
            <w:r>
              <w:rPr>
                <w:rFonts w:ascii="Aptos" w:hAnsi="Aptos"/>
                <w:b/>
                <w:i w:val="0"/>
                <w:color w:val="FFFFFF"/>
                <w:sz w:val="16"/>
              </w:rPr>
              <w:t>Failure signal</w:t>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Chip supplier</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Country A / 18 days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Assembler</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Country B / 12 days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Ocean freight</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20 days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Port/customs</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t>5 days typical</w:t>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Regional warehouse</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t>3 days</w:t>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40"/>
            <w:tcMar>
              <w:top w:w="100" w:type="dxa"/>
              <w:start w:w="120" w:type="dxa"/>
              <w:bottom w:w="100" w:type="dxa"/>
              <w:end w:w="120" w:type="dxa"/>
            </w:tcMar>
            <w:vAlign w:val="center"/>
          </w:tcPr>
          <w:p>
            <w:pPr>
              <w:spacing w:after="0"/>
            </w:pPr>
            <w:r>
              <w:rPr>
                <w:rFonts w:ascii="Aptos" w:hAnsi="Aptos"/>
                <w:b w:val="0"/>
                <w:i w:val="0"/>
                <w:color w:val="1F2933"/>
                <w:sz w:val="16"/>
              </w:rPr>
            </w:r>
          </w:p>
        </w:tc>
      </w:tr>
    </w:tbl>
    <w:p>
      <w:r>
        <w:t>Calculate normal total lead time and identify data needed to avoid double counting.</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Score Supply-Chain Risks</w:t>
      </w:r>
    </w:p>
    <w:p>
      <w:r>
        <w:t>Likelihood and impact are scored 1-5; risk score = likelihood x impact.</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Risk</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Likelihood</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Impact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Score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Reason</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Single chip supplier</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4</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5</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Port delay</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3</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4</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Demand forecast error</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4</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3</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Currency change</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3</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3</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Quality failure</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2</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5</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r>
          </w:p>
        </w:tc>
      </w:tr>
    </w:tbl>
    <w:p>
      <w:r>
        <w:t>Rank risks, but explain why identical scores may need different responses.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Compare Resilience Options</w:t>
      </w:r>
    </w:p>
    <w:p>
      <w:r>
        <w:t>Annual demand is 1,000 calculators. Base landed unit cost is $18.</w:t>
      </w:r>
    </w:p>
    <w:tbl>
      <w:tblPr>
        <w:tblStyle w:val="TableGrid"/>
        <w:tblW w:type="dxa" w:w="9360"/>
        <w:jc w:val="center"/>
        <w:tblLayout w:type="fixed"/>
        <w:tblLook w:firstColumn="1" w:firstRow="1" w:lastColumn="0" w:lastRow="0" w:noHBand="0" w:noVBand="1" w:val="04A0"/>
        <w:tblInd w:w="120" w:type="dxa"/>
      </w:tblPr>
      <w:tblGrid>
        <w:gridCol w:w="1872"/>
        <w:gridCol w:w="1872"/>
        <w:gridCol w:w="1872"/>
        <w:gridCol w:w="1872"/>
        <w:gridCol w:w="1872"/>
      </w:tblGrid>
      <w:tr>
        <w:trPr>
          <w:tblHeader w:val="true"/>
          <w:tblHeader w:val="true"/>
        </w:trPr>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Option</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Unit cost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Upfront/annual extra cost</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Lead time</w:t>
            </w:r>
          </w:p>
        </w:tc>
        <w:tc>
          <w:tcPr>
            <w:tcW w:type="dxa" w:w="1872"/>
            <w:shd w:fill="163A63"/>
            <w:tcMar>
              <w:top w:w="100" w:type="dxa"/>
              <w:start w:w="120" w:type="dxa"/>
              <w:bottom w:w="100" w:type="dxa"/>
              <w:end w:w="120" w:type="dxa"/>
            </w:tcMar>
            <w:vAlign w:val="center"/>
          </w:tcPr>
          <w:p>
            <w:pPr>
              <w:spacing w:after="0"/>
            </w:pPr>
            <w:r>
              <w:rPr>
                <w:rFonts w:ascii="Aptos" w:hAnsi="Aptos"/>
                <w:b/>
                <w:i w:val="0"/>
                <w:color w:val="FFFFFF"/>
                <w:sz w:val="16"/>
              </w:rPr>
              <w:t>Expected disruption units avoided</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Current single source</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$18</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$0</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58 days</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0</w:t>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Second supplier</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$19.50</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$2,000 qualification</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42 days</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180</w:t>
            </w:r>
          </w:p>
        </w:tc>
      </w:tr>
      <w:tr>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Safety stock</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$18</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$3,600 holding cost</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58 days</w:t>
            </w:r>
          </w:p>
        </w:tc>
        <w:tc>
          <w:tcPr>
            <w:tcW w:type="dxa" w:w="1872"/>
            <w:tcMar>
              <w:top w:w="100" w:type="dxa"/>
              <w:start w:w="120" w:type="dxa"/>
              <w:bottom w:w="100" w:type="dxa"/>
              <w:end w:w="120" w:type="dxa"/>
            </w:tcMar>
            <w:vAlign w:val="center"/>
          </w:tcPr>
          <w:p>
            <w:pPr>
              <w:spacing w:after="0"/>
            </w:pPr>
            <w:r>
              <w:rPr>
                <w:rFonts w:ascii="Aptos" w:hAnsi="Aptos"/>
                <w:b w:val="0"/>
                <w:i w:val="0"/>
                <w:color w:val="1F2933"/>
                <w:sz w:val="16"/>
              </w:rPr>
              <w:t>140</w:t>
            </w:r>
          </w:p>
        </w:tc>
      </w:tr>
      <w:tr>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Regional supplier</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$22</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$1,000 setup</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15 days</w:t>
            </w:r>
          </w:p>
        </w:tc>
        <w:tc>
          <w:tcPr>
            <w:tcW w:type="dxa" w:w="1872"/>
            <w:shd w:fill="F4F6F8"/>
            <w:tcMar>
              <w:top w:w="100" w:type="dxa"/>
              <w:start w:w="120" w:type="dxa"/>
              <w:bottom w:w="100" w:type="dxa"/>
              <w:end w:w="120" w:type="dxa"/>
            </w:tcMar>
            <w:vAlign w:val="center"/>
          </w:tcPr>
          <w:p>
            <w:pPr>
              <w:spacing w:after="0"/>
            </w:pPr>
            <w:r>
              <w:rPr>
                <w:rFonts w:ascii="Aptos" w:hAnsi="Aptos"/>
                <w:b w:val="0"/>
                <w:i w:val="0"/>
                <w:color w:val="1F2933"/>
                <w:sz w:val="16"/>
              </w:rPr>
              <w:t>220</w:t>
            </w:r>
          </w:p>
        </w:tc>
      </w:tr>
    </w:tbl>
    <w:p>
      <w:r>
        <w:t>Calculate annual purchase plus extra cost and cost per disruption unit avoided versus current.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Stress-Test a Disruption</w:t>
      </w:r>
    </w:p>
    <w:p>
      <w:r>
        <w:t>A 30-day port disruption affects 300 due units. Each stockout unit creates an estimated $8 lost margin and $4 rush/administrative cost.</w:t>
      </w:r>
    </w:p>
    <w:tbl>
      <w:tblPr>
        <w:tblStyle w:val="TableGrid"/>
        <w:tblW w:type="dxa" w:w="9360"/>
        <w:jc w:val="center"/>
        <w:tblLayout w:type="fixed"/>
        <w:tblLook w:firstColumn="1" w:firstRow="1" w:lastColumn="0" w:lastRow="0" w:noHBand="0" w:noVBand="1" w:val="04A0"/>
        <w:tblInd w:w="120" w:type="dxa"/>
      </w:tblPr>
      <w:tblGrid>
        <w:gridCol w:w="1560"/>
        <w:gridCol w:w="1560"/>
        <w:gridCol w:w="1560"/>
        <w:gridCol w:w="1560"/>
        <w:gridCol w:w="1560"/>
        <w:gridCol w:w="1560"/>
      </w:tblGrid>
      <w:tr>
        <w:trPr>
          <w:tblHeader w:val="true"/>
          <w:tblHeader w:val="true"/>
        </w:trPr>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Option</w:t>
            </w:r>
          </w:p>
        </w:tc>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Units still unavailable</w:t>
            </w:r>
          </w:p>
        </w:tc>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Loss per unit</w:t>
            </w:r>
          </w:p>
        </w:tc>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Disruption loss</w:t>
            </w:r>
          </w:p>
        </w:tc>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Annual option cost</w:t>
            </w:r>
          </w:p>
        </w:tc>
        <w:tc>
          <w:tcPr>
            <w:tcW w:type="dxa" w:w="1560"/>
            <w:shd w:fill="163A63"/>
            <w:tcMar>
              <w:top w:w="100" w:type="dxa"/>
              <w:start w:w="120" w:type="dxa"/>
              <w:bottom w:w="100" w:type="dxa"/>
              <w:end w:w="120" w:type="dxa"/>
            </w:tcMar>
            <w:vAlign w:val="center"/>
          </w:tcPr>
          <w:p>
            <w:pPr>
              <w:spacing w:after="0"/>
            </w:pPr>
            <w:r>
              <w:rPr>
                <w:rFonts w:ascii="Aptos" w:hAnsi="Aptos"/>
                <w:b/>
                <w:i w:val="0"/>
                <w:color w:val="FFFFFF"/>
                <w:sz w:val="16"/>
              </w:rPr>
              <w:t>Combined scenario cost</w:t>
            </w:r>
          </w:p>
        </w:tc>
      </w:tr>
      <w:tr>
        <w:tc>
          <w:tcPr>
            <w:tcW w:type="dxa" w:w="1560"/>
            <w:tcMar>
              <w:top w:w="100" w:type="dxa"/>
              <w:start w:w="120" w:type="dxa"/>
              <w:bottom w:w="100" w:type="dxa"/>
              <w:end w:w="120" w:type="dxa"/>
            </w:tcMar>
            <w:vAlign w:val="center"/>
          </w:tcPr>
          <w:p>
            <w:pPr>
              <w:spacing w:after="0"/>
            </w:pPr>
            <w:r>
              <w:rPr>
                <w:rFonts w:ascii="Aptos" w:hAnsi="Aptos"/>
                <w:b w:val="0"/>
                <w:i w:val="0"/>
                <w:color w:val="1F2933"/>
                <w:sz w:val="16"/>
              </w:rPr>
              <w:t>Current</w:t>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t>300</w:t>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t>Second supplier</w:t>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t>120</w:t>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560"/>
            <w:tcMar>
              <w:top w:w="100" w:type="dxa"/>
              <w:start w:w="120" w:type="dxa"/>
              <w:bottom w:w="100" w:type="dxa"/>
              <w:end w:w="120" w:type="dxa"/>
            </w:tcMar>
            <w:vAlign w:val="center"/>
          </w:tcPr>
          <w:p>
            <w:pPr>
              <w:spacing w:after="0"/>
            </w:pPr>
            <w:r>
              <w:rPr>
                <w:rFonts w:ascii="Aptos" w:hAnsi="Aptos"/>
                <w:b w:val="0"/>
                <w:i w:val="0"/>
                <w:color w:val="1F2933"/>
                <w:sz w:val="16"/>
              </w:rPr>
              <w:t>Safety stock</w:t>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t>160</w:t>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t>Regional supplier</w:t>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t>80</w:t>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Use annual option costs from Part 3. Explain the limits of combining annual and event figures.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 Supply-Chain Resilience Recommendation</w:t>
      </w:r>
    </w:p>
    <w:p>
      <w:r>
        <w:t>The store prioritizes availability but cannot spend more than $5,000 above the current annual purchase cost.</w:t>
      </w:r>
    </w:p>
    <w:tbl>
      <w:tblPr>
        <w:tblStyle w:val="TableGrid"/>
        <w:tblW w:type="dxa" w:w="9360"/>
        <w:jc w:val="center"/>
        <w:tblLayout w:type="fixed"/>
        <w:tblLook w:firstColumn="1" w:firstRow="1" w:lastColumn="0" w:lastRow="0" w:noHBand="0" w:noVBand="1" w:val="04A0"/>
        <w:tblInd w:w="120" w:type="dxa"/>
      </w:tblPr>
      <w:tblGrid>
        <w:gridCol w:w="4680"/>
        <w:gridCol w:w="4680"/>
      </w:tblGrid>
      <w:tr>
        <w:trPr>
          <w:tblHeader w:val="true"/>
          <w:tblHeader w:val="true"/>
        </w:trPr>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Decision check</w:t>
            </w:r>
          </w:p>
        </w:tc>
        <w:tc>
          <w:tcPr>
            <w:tcW w:type="dxa" w:w="4680"/>
            <w:shd w:fill="163A63"/>
            <w:tcMar>
              <w:top w:w="100" w:type="dxa"/>
              <w:start w:w="120" w:type="dxa"/>
              <w:bottom w:w="100" w:type="dxa"/>
              <w:end w:w="120" w:type="dxa"/>
            </w:tcMar>
            <w:vAlign w:val="center"/>
          </w:tcPr>
          <w:p>
            <w:pPr>
              <w:spacing w:after="0"/>
            </w:pPr>
            <w:r>
              <w:rPr>
                <w:rFonts w:ascii="Aptos" w:hAnsi="Aptos"/>
                <w:b/>
                <w:i w:val="0"/>
                <w:color w:val="FFFFFF"/>
                <w:sz w:val="16"/>
              </w:rPr>
              <w:t>My evidence</w:t>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Normal lead time</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Top risk</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Annual current cost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Option extra cost</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Units avoided</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Disruption cost</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tcMar>
              <w:top w:w="100" w:type="dxa"/>
              <w:start w:w="120" w:type="dxa"/>
              <w:bottom w:w="100" w:type="dxa"/>
              <w:end w:w="120" w:type="dxa"/>
            </w:tcMar>
            <w:vAlign w:val="center"/>
          </w:tcPr>
          <w:p>
            <w:pPr>
              <w:spacing w:after="0"/>
            </w:pPr>
            <w:r>
              <w:rPr>
                <w:rFonts w:ascii="Aptos" w:hAnsi="Aptos"/>
                <w:b w:val="0"/>
                <w:i w:val="0"/>
                <w:color w:val="1F2933"/>
                <w:sz w:val="16"/>
              </w:rPr>
              <w:t>Budget test</w:t>
            </w:r>
          </w:p>
        </w:tc>
        <w:tc>
          <w:tcPr>
            <w:tcW w:type="dxa" w:w="468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t>Qualified recommendation</w:t>
            </w:r>
          </w:p>
        </w:tc>
        <w:tc>
          <w:tcPr>
            <w:tcW w:type="dxa" w:w="468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150-200 words using at least six figures and four monitoring controls.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