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EMPLOYMENT COMPENSATION</w:t>
      </w:r>
    </w:p>
    <w:p>
      <w:pPr>
        <w:pStyle w:val="Title"/>
      </w:pPr>
      <w:r>
        <w:t>Evaluating Employee Benefits</w:t>
      </w:r>
    </w:p>
    <w:p>
      <w:pPr>
        <w:pStyle w:val="Subtitle"/>
      </w:pPr>
      <w:r>
        <w:t>Detailed practice, calculation, decision-making,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Brief</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Interpret health, retirement, paid-leave, eligibility, and vesting information to compare a fictional benefits package.</w:t>
            </w:r>
          </w:p>
        </w:tc>
      </w:tr>
    </w:tbl>
    <w:p>
      <w:pPr>
        <w:spacing w:after="0"/>
      </w:pPr>
    </w:p>
    <w:p>
      <w:pPr>
        <w:pStyle w:val="Heading1"/>
      </w:pPr>
      <w:r>
        <w:t>A Job Offer Is More Than the Advertised Wage</w:t>
      </w:r>
    </w:p>
    <w:p>
      <w:r>
        <w:t>Benefits can represent an important part of compensation, but their value depends on employee cost, coverage, eligibility, use, and plan rules. Read the Summary Plan Description and other official plan documents before making decisions.</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tblHeader w:val="true"/>
          <w:tblHeader w:val="true"/>
        </w:trPr>
        <w:tc>
          <w:tcPr>
            <w:tcW w:type="dxa" w:w="2600"/>
            <w:shd w:fill="163A63"/>
            <w:tcMar>
              <w:top w:w="100" w:type="dxa"/>
              <w:start w:w="120" w:type="dxa"/>
              <w:bottom w:w="100" w:type="dxa"/>
              <w:end w:w="120" w:type="dxa"/>
            </w:tcMar>
            <w:vAlign w:val="center"/>
          </w:tcPr>
          <w:p>
            <w:pPr>
              <w:spacing w:after="0"/>
            </w:pPr>
            <w:r>
              <w:rPr>
                <w:rFonts w:ascii="Aptos" w:hAnsi="Aptos"/>
                <w:b/>
                <w:i w:val="0"/>
                <w:color w:val="FFFFFF"/>
                <w:sz w:val="16"/>
              </w:rPr>
              <w:t>Term</w:t>
            </w:r>
          </w:p>
        </w:tc>
        <w:tc>
          <w:tcPr>
            <w:tcW w:type="dxa" w:w="6760"/>
            <w:shd w:fill="163A63"/>
            <w:tcMar>
              <w:top w:w="100" w:type="dxa"/>
              <w:start w:w="120" w:type="dxa"/>
              <w:bottom w:w="100" w:type="dxa"/>
              <w:end w:w="120" w:type="dxa"/>
            </w:tcMar>
            <w:vAlign w:val="center"/>
          </w:tcPr>
          <w:p>
            <w:pPr>
              <w:spacing w:after="0"/>
            </w:pPr>
            <w:r>
              <w:rPr>
                <w:rFonts w:ascii="Aptos" w:hAnsi="Aptos"/>
                <w:b/>
                <w:i w:val="0"/>
                <w:color w:val="FFFFFF"/>
                <w:sz w:val="16"/>
              </w:rPr>
              <w:t>Student-friendly meaning</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Premium</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Regular amount paid for insurance coverage.</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Deductible</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Amount paid for covered care before a plan begins paying under its rules.</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Match</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Employer contribution tied to an employee contribution formula.</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Vesting</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Process for gaining ownership of employer-provided retirement contributions.</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Waiting period</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Time before stated coverage or participation begins.</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Summary Plan Description</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Document explaining what a covered plan provides and how it operates.</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CLASSROOM USE  </w:t>
            </w:r>
            <w:r>
              <w:rPr>
                <w:rFonts w:ascii="Aptos" w:hAnsi="Aptos"/>
                <w:b w:val="0"/>
                <w:i w:val="0"/>
                <w:color w:val="1F2933"/>
                <w:sz w:val="20"/>
              </w:rPr>
              <w:t>All people, employers, figures, brackets, and documents in this packet are fictional. Never place a real Social Security number, employer ID, bank number, or tax document in classroom work.</w:t>
            </w:r>
          </w:p>
        </w:tc>
      </w:tr>
    </w:tbl>
    <w:p>
      <w:pPr>
        <w:spacing w:after="0"/>
      </w:pPr>
    </w:p>
    <w:p>
      <w:pPr>
        <w:spacing w:before="0" w:after="0" w:line="20" w:lineRule="exact"/>
      </w:pPr>
      <w:r>
        <w:rPr>
          <w:rFonts w:ascii="Aptos" w:hAnsi="Aptos"/>
          <w:b w:val="0"/>
          <w:i w:val="0"/>
          <w:color w:val="1F2933"/>
          <w:sz w:val="2"/>
        </w:rPr>
        <w:br w:type="page"/>
      </w:r>
    </w:p>
    <w:p>
      <w:pPr>
        <w:pStyle w:val="Heading1"/>
      </w:pPr>
      <w:r>
        <w:t>Part 1 - Decode Benefit Terms</w:t>
      </w:r>
    </w:p>
    <w:p>
      <w:r>
        <w:t>Match each term to the decision it affects.</w:t>
      </w:r>
    </w:p>
    <w:tbl>
      <w:tblPr>
        <w:tblStyle w:val="TableGrid"/>
        <w:tblW w:type="dxa" w:w="9360"/>
        <w:jc w:val="center"/>
        <w:tblLayout w:type="fixed"/>
        <w:tblLook w:firstColumn="1" w:firstRow="1" w:lastColumn="0" w:lastRow="0" w:noHBand="0" w:noVBand="1" w:val="04A0"/>
        <w:tblInd w:w="120" w:type="dxa"/>
      </w:tblPr>
      <w:tblGrid>
        <w:gridCol w:w="3120"/>
        <w:gridCol w:w="3120"/>
        <w:gridCol w:w="3120"/>
      </w:tblGrid>
      <w:tr>
        <w:trPr>
          <w:tblHeader w:val="true"/>
          <w:tblHeader w:val="true"/>
        </w:trPr>
        <w:tc>
          <w:tcPr>
            <w:tcW w:type="dxa" w:w="3120"/>
            <w:shd w:fill="163A63"/>
            <w:tcMar>
              <w:top w:w="100" w:type="dxa"/>
              <w:start w:w="120" w:type="dxa"/>
              <w:bottom w:w="100" w:type="dxa"/>
              <w:end w:w="120" w:type="dxa"/>
            </w:tcMar>
            <w:vAlign w:val="center"/>
          </w:tcPr>
          <w:p>
            <w:pPr>
              <w:spacing w:after="0"/>
            </w:pPr>
            <w:r>
              <w:rPr>
                <w:rFonts w:ascii="Aptos" w:hAnsi="Aptos"/>
                <w:b/>
                <w:i w:val="0"/>
                <w:color w:val="FFFFFF"/>
                <w:sz w:val="16"/>
              </w:rPr>
              <w:t>Term</w:t>
            </w:r>
          </w:p>
        </w:tc>
        <w:tc>
          <w:tcPr>
            <w:tcW w:type="dxa" w:w="3120"/>
            <w:shd w:fill="163A63"/>
            <w:tcMar>
              <w:top w:w="100" w:type="dxa"/>
              <w:start w:w="120" w:type="dxa"/>
              <w:bottom w:w="100" w:type="dxa"/>
              <w:end w:w="120" w:type="dxa"/>
            </w:tcMar>
            <w:vAlign w:val="center"/>
          </w:tcPr>
          <w:p>
            <w:pPr>
              <w:spacing w:after="0"/>
            </w:pPr>
            <w:r>
              <w:rPr>
                <w:rFonts w:ascii="Aptos" w:hAnsi="Aptos"/>
                <w:b/>
                <w:i w:val="0"/>
                <w:color w:val="FFFFFF"/>
                <w:sz w:val="16"/>
              </w:rPr>
              <w:t>Plain-language meaning</w:t>
            </w:r>
          </w:p>
        </w:tc>
        <w:tc>
          <w:tcPr>
            <w:tcW w:type="dxa" w:w="3120"/>
            <w:shd w:fill="163A63"/>
            <w:tcMar>
              <w:top w:w="100" w:type="dxa"/>
              <w:start w:w="120" w:type="dxa"/>
              <w:bottom w:w="100" w:type="dxa"/>
              <w:end w:w="120" w:type="dxa"/>
            </w:tcMar>
            <w:vAlign w:val="center"/>
          </w:tcPr>
          <w:p>
            <w:pPr>
              <w:spacing w:after="0"/>
            </w:pPr>
            <w:r>
              <w:rPr>
                <w:rFonts w:ascii="Aptos" w:hAnsi="Aptos"/>
                <w:b/>
                <w:i w:val="0"/>
                <w:color w:val="FFFFFF"/>
                <w:sz w:val="16"/>
              </w:rPr>
              <w:t>Why it matters</w:t>
            </w:r>
          </w:p>
        </w:tc>
      </w:tr>
      <w:tr>
        <w:tc>
          <w:tcPr>
            <w:tcW w:type="dxa" w:w="3120"/>
            <w:tcMar>
              <w:top w:w="100" w:type="dxa"/>
              <w:start w:w="120" w:type="dxa"/>
              <w:bottom w:w="100" w:type="dxa"/>
              <w:end w:w="120" w:type="dxa"/>
            </w:tcMar>
            <w:vAlign w:val="center"/>
          </w:tcPr>
          <w:p>
            <w:pPr>
              <w:spacing w:after="0"/>
            </w:pPr>
            <w:r>
              <w:rPr>
                <w:rFonts w:ascii="Aptos" w:hAnsi="Aptos"/>
                <w:b w:val="0"/>
                <w:i w:val="0"/>
                <w:color w:val="1F2933"/>
                <w:sz w:val="16"/>
              </w:rPr>
              <w:t>Premium</w:t>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t>Deductible</w:t>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120"/>
            <w:tcMar>
              <w:top w:w="100" w:type="dxa"/>
              <w:start w:w="120" w:type="dxa"/>
              <w:bottom w:w="100" w:type="dxa"/>
              <w:end w:w="120" w:type="dxa"/>
            </w:tcMar>
            <w:vAlign w:val="center"/>
          </w:tcPr>
          <w:p>
            <w:pPr>
              <w:spacing w:after="0"/>
            </w:pPr>
            <w:r>
              <w:rPr>
                <w:rFonts w:ascii="Aptos" w:hAnsi="Aptos"/>
                <w:b w:val="0"/>
                <w:i w:val="0"/>
                <w:color w:val="1F2933"/>
                <w:sz w:val="16"/>
              </w:rPr>
              <w:t>Employer match</w:t>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t>Vesting</w:t>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120"/>
            <w:tcMar>
              <w:top w:w="100" w:type="dxa"/>
              <w:start w:w="120" w:type="dxa"/>
              <w:bottom w:w="100" w:type="dxa"/>
              <w:end w:w="120" w:type="dxa"/>
            </w:tcMar>
            <w:vAlign w:val="center"/>
          </w:tcPr>
          <w:p>
            <w:pPr>
              <w:spacing w:after="0"/>
            </w:pPr>
            <w:r>
              <w:rPr>
                <w:rFonts w:ascii="Aptos" w:hAnsi="Aptos"/>
                <w:b w:val="0"/>
                <w:i w:val="0"/>
                <w:color w:val="1F2933"/>
                <w:sz w:val="16"/>
              </w:rPr>
              <w:t>Waiting period</w:t>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t>Paid time off</w:t>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Use plan-specific questions instead of assuming every employer uses the same rules.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Compare Fictional Health Choices</w:t>
      </w:r>
    </w:p>
    <w:p>
      <w:r>
        <w:t>Plan X premium is $90/month with a $1,800 deductible. Plan Y premium is $210/month with a $700 deductible.</w:t>
      </w:r>
    </w:p>
    <w:tbl>
      <w:tblPr>
        <w:tblStyle w:val="TableGrid"/>
        <w:tblW w:type="dxa" w:w="9360"/>
        <w:jc w:val="center"/>
        <w:tblLayout w:type="fixed"/>
        <w:tblLook w:firstColumn="1" w:firstRow="1" w:lastColumn="0" w:lastRow="0" w:noHBand="0" w:noVBand="1" w:val="04A0"/>
        <w:tblInd w:w="120" w:type="dxa"/>
      </w:tblPr>
      <w:tblGrid>
        <w:gridCol w:w="3120"/>
        <w:gridCol w:w="3120"/>
        <w:gridCol w:w="3120"/>
      </w:tblGrid>
      <w:tr>
        <w:trPr>
          <w:tblHeader w:val="true"/>
          <w:tblHeader w:val="true"/>
        </w:trPr>
        <w:tc>
          <w:tcPr>
            <w:tcW w:type="dxa" w:w="3120"/>
            <w:shd w:fill="163A63"/>
            <w:tcMar>
              <w:top w:w="100" w:type="dxa"/>
              <w:start w:w="120" w:type="dxa"/>
              <w:bottom w:w="100" w:type="dxa"/>
              <w:end w:w="120" w:type="dxa"/>
            </w:tcMar>
            <w:vAlign w:val="center"/>
          </w:tcPr>
          <w:p>
            <w:pPr>
              <w:spacing w:after="0"/>
            </w:pPr>
            <w:r>
              <w:rPr>
                <w:rFonts w:ascii="Aptos" w:hAnsi="Aptos"/>
                <w:b/>
                <w:i w:val="0"/>
                <w:color w:val="FFFFFF"/>
                <w:sz w:val="16"/>
              </w:rPr>
              <w:t>Measure</w:t>
            </w:r>
          </w:p>
        </w:tc>
        <w:tc>
          <w:tcPr>
            <w:tcW w:type="dxa" w:w="3120"/>
            <w:shd w:fill="163A63"/>
            <w:tcMar>
              <w:top w:w="100" w:type="dxa"/>
              <w:start w:w="120" w:type="dxa"/>
              <w:bottom w:w="100" w:type="dxa"/>
              <w:end w:w="120" w:type="dxa"/>
            </w:tcMar>
            <w:vAlign w:val="center"/>
          </w:tcPr>
          <w:p>
            <w:pPr>
              <w:spacing w:after="0"/>
            </w:pPr>
            <w:r>
              <w:rPr>
                <w:rFonts w:ascii="Aptos" w:hAnsi="Aptos"/>
                <w:b/>
                <w:i w:val="0"/>
                <w:color w:val="FFFFFF"/>
                <w:sz w:val="16"/>
              </w:rPr>
              <w:t>Plan X</w:t>
            </w:r>
          </w:p>
        </w:tc>
        <w:tc>
          <w:tcPr>
            <w:tcW w:type="dxa" w:w="3120"/>
            <w:shd w:fill="163A63"/>
            <w:tcMar>
              <w:top w:w="100" w:type="dxa"/>
              <w:start w:w="120" w:type="dxa"/>
              <w:bottom w:w="100" w:type="dxa"/>
              <w:end w:w="120" w:type="dxa"/>
            </w:tcMar>
            <w:vAlign w:val="center"/>
          </w:tcPr>
          <w:p>
            <w:pPr>
              <w:spacing w:after="0"/>
            </w:pPr>
            <w:r>
              <w:rPr>
                <w:rFonts w:ascii="Aptos" w:hAnsi="Aptos"/>
                <w:b/>
                <w:i w:val="0"/>
                <w:color w:val="FFFFFF"/>
                <w:sz w:val="16"/>
              </w:rPr>
              <w:t>Plan Y</w:t>
            </w:r>
          </w:p>
        </w:tc>
      </w:tr>
      <w:tr>
        <w:tc>
          <w:tcPr>
            <w:tcW w:type="dxa" w:w="3120"/>
            <w:tcMar>
              <w:top w:w="100" w:type="dxa"/>
              <w:start w:w="120" w:type="dxa"/>
              <w:bottom w:w="100" w:type="dxa"/>
              <w:end w:w="120" w:type="dxa"/>
            </w:tcMar>
            <w:vAlign w:val="center"/>
          </w:tcPr>
          <w:p>
            <w:pPr>
              <w:spacing w:after="0"/>
            </w:pPr>
            <w:r>
              <w:rPr>
                <w:rFonts w:ascii="Aptos" w:hAnsi="Aptos"/>
                <w:b w:val="0"/>
                <w:i w:val="0"/>
                <w:color w:val="1F2933"/>
                <w:sz w:val="16"/>
              </w:rPr>
              <w:t>Annual premium</w:t>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t>Deductible</w:t>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t>$1,800</w:t>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t>$700</w:t>
            </w:r>
          </w:p>
        </w:tc>
      </w:tr>
      <w:tr>
        <w:tc>
          <w:tcPr>
            <w:tcW w:type="dxa" w:w="3120"/>
            <w:tcMar>
              <w:top w:w="100" w:type="dxa"/>
              <w:start w:w="120" w:type="dxa"/>
              <w:bottom w:w="100" w:type="dxa"/>
              <w:end w:w="120" w:type="dxa"/>
            </w:tcMar>
            <w:vAlign w:val="center"/>
          </w:tcPr>
          <w:p>
            <w:pPr>
              <w:spacing w:after="0"/>
            </w:pPr>
            <w:r>
              <w:rPr>
                <w:rFonts w:ascii="Aptos" w:hAnsi="Aptos"/>
                <w:b w:val="0"/>
                <w:i w:val="0"/>
                <w:color w:val="1F2933"/>
                <w:sz w:val="16"/>
              </w:rPr>
              <w:t>Premium + deductible</w:t>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t>Difference</w:t>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This simplified total is not a full estimate of annual medical spending.</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3 - Calculate Employer Match</w:t>
      </w:r>
    </w:p>
    <w:p>
      <w:r>
        <w:t>Employee salary is $42,000. Option A matches 50% of the first 6% contributed. Option B matches 100% of the first 3%. Assume the employee contributes enough for the maximum stated match.</w:t>
      </w:r>
    </w:p>
    <w:tbl>
      <w:tblPr>
        <w:tblStyle w:val="TableGrid"/>
        <w:tblW w:type="dxa" w:w="9360"/>
        <w:jc w:val="center"/>
        <w:tblLayout w:type="fixed"/>
        <w:tblLook w:firstColumn="1" w:firstRow="1" w:lastColumn="0" w:lastRow="0" w:noHBand="0" w:noVBand="1" w:val="04A0"/>
        <w:tblInd w:w="120" w:type="dxa"/>
      </w:tblPr>
      <w:tblGrid>
        <w:gridCol w:w="3120"/>
        <w:gridCol w:w="3120"/>
        <w:gridCol w:w="3120"/>
      </w:tblGrid>
      <w:tr>
        <w:trPr>
          <w:tblHeader w:val="true"/>
          <w:tblHeader w:val="true"/>
        </w:trPr>
        <w:tc>
          <w:tcPr>
            <w:tcW w:type="dxa" w:w="3120"/>
            <w:shd w:fill="163A63"/>
            <w:tcMar>
              <w:top w:w="100" w:type="dxa"/>
              <w:start w:w="120" w:type="dxa"/>
              <w:bottom w:w="100" w:type="dxa"/>
              <w:end w:w="120" w:type="dxa"/>
            </w:tcMar>
            <w:vAlign w:val="center"/>
          </w:tcPr>
          <w:p>
            <w:pPr>
              <w:spacing w:after="0"/>
            </w:pPr>
            <w:r>
              <w:rPr>
                <w:rFonts w:ascii="Aptos" w:hAnsi="Aptos"/>
                <w:b/>
                <w:i w:val="0"/>
                <w:color w:val="FFFFFF"/>
                <w:sz w:val="16"/>
              </w:rPr>
              <w:t>Measure</w:t>
            </w:r>
          </w:p>
        </w:tc>
        <w:tc>
          <w:tcPr>
            <w:tcW w:type="dxa" w:w="3120"/>
            <w:shd w:fill="163A63"/>
            <w:tcMar>
              <w:top w:w="100" w:type="dxa"/>
              <w:start w:w="120" w:type="dxa"/>
              <w:bottom w:w="100" w:type="dxa"/>
              <w:end w:w="120" w:type="dxa"/>
            </w:tcMar>
            <w:vAlign w:val="center"/>
          </w:tcPr>
          <w:p>
            <w:pPr>
              <w:spacing w:after="0"/>
            </w:pPr>
            <w:r>
              <w:rPr>
                <w:rFonts w:ascii="Aptos" w:hAnsi="Aptos"/>
                <w:b/>
                <w:i w:val="0"/>
                <w:color w:val="FFFFFF"/>
                <w:sz w:val="16"/>
              </w:rPr>
              <w:t>Option A</w:t>
            </w:r>
          </w:p>
        </w:tc>
        <w:tc>
          <w:tcPr>
            <w:tcW w:type="dxa" w:w="3120"/>
            <w:shd w:fill="163A63"/>
            <w:tcMar>
              <w:top w:w="100" w:type="dxa"/>
              <w:start w:w="120" w:type="dxa"/>
              <w:bottom w:w="100" w:type="dxa"/>
              <w:end w:w="120" w:type="dxa"/>
            </w:tcMar>
            <w:vAlign w:val="center"/>
          </w:tcPr>
          <w:p>
            <w:pPr>
              <w:spacing w:after="0"/>
            </w:pPr>
            <w:r>
              <w:rPr>
                <w:rFonts w:ascii="Aptos" w:hAnsi="Aptos"/>
                <w:b/>
                <w:i w:val="0"/>
                <w:color w:val="FFFFFF"/>
                <w:sz w:val="16"/>
              </w:rPr>
              <w:t>Option B</w:t>
            </w:r>
          </w:p>
        </w:tc>
      </w:tr>
      <w:tr>
        <w:tc>
          <w:tcPr>
            <w:tcW w:type="dxa" w:w="3120"/>
            <w:tcMar>
              <w:top w:w="100" w:type="dxa"/>
              <w:start w:w="120" w:type="dxa"/>
              <w:bottom w:w="100" w:type="dxa"/>
              <w:end w:w="120" w:type="dxa"/>
            </w:tcMar>
            <w:vAlign w:val="center"/>
          </w:tcPr>
          <w:p>
            <w:pPr>
              <w:spacing w:after="0"/>
            </w:pPr>
            <w:r>
              <w:rPr>
                <w:rFonts w:ascii="Aptos" w:hAnsi="Aptos"/>
                <w:b w:val="0"/>
                <w:i w:val="0"/>
                <w:color w:val="1F2933"/>
                <w:sz w:val="16"/>
              </w:rPr>
              <w:t>Employee contribution needed</w:t>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t>Maximum employer match</w:t>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120"/>
            <w:tcMar>
              <w:top w:w="100" w:type="dxa"/>
              <w:start w:w="120" w:type="dxa"/>
              <w:bottom w:w="100" w:type="dxa"/>
              <w:end w:w="120" w:type="dxa"/>
            </w:tcMar>
            <w:vAlign w:val="center"/>
          </w:tcPr>
          <w:p>
            <w:pPr>
              <w:spacing w:after="0"/>
            </w:pPr>
            <w:r>
              <w:rPr>
                <w:rFonts w:ascii="Aptos" w:hAnsi="Aptos"/>
                <w:b w:val="0"/>
                <w:i w:val="0"/>
                <w:color w:val="1F2933"/>
                <w:sz w:val="16"/>
              </w:rPr>
              <w:t>Combined contribution</w:t>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t>Question about vesting</w:t>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Show the percentage and dollar calculations.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4 - Audit the Benefit Rules</w:t>
      </w:r>
    </w:p>
    <w:p>
      <w:r>
        <w:t>The summary says: health starts after 60 days; retirement contributions may begin immediately; employer match vests 25% each year; PTO is 12 days per year and accrues each pay period.</w:t>
      </w:r>
    </w:p>
    <w:tbl>
      <w:tblPr>
        <w:tblStyle w:val="TableGrid"/>
        <w:tblW w:type="dxa" w:w="9360"/>
        <w:jc w:val="center"/>
        <w:tblLayout w:type="fixed"/>
        <w:tblLook w:firstColumn="1" w:firstRow="1" w:lastColumn="0" w:lastRow="0" w:noHBand="0" w:noVBand="1" w:val="04A0"/>
        <w:tblInd w:w="120" w:type="dxa"/>
      </w:tblPr>
      <w:tblGrid>
        <w:gridCol w:w="3120"/>
        <w:gridCol w:w="3120"/>
        <w:gridCol w:w="3120"/>
      </w:tblGrid>
      <w:tr>
        <w:trPr>
          <w:tblHeader w:val="true"/>
          <w:tblHeader w:val="true"/>
        </w:trPr>
        <w:tc>
          <w:tcPr>
            <w:tcW w:type="dxa" w:w="3120"/>
            <w:shd w:fill="163A63"/>
            <w:tcMar>
              <w:top w:w="100" w:type="dxa"/>
              <w:start w:w="120" w:type="dxa"/>
              <w:bottom w:w="100" w:type="dxa"/>
              <w:end w:w="120" w:type="dxa"/>
            </w:tcMar>
            <w:vAlign w:val="center"/>
          </w:tcPr>
          <w:p>
            <w:pPr>
              <w:spacing w:after="0"/>
            </w:pPr>
            <w:r>
              <w:rPr>
                <w:rFonts w:ascii="Aptos" w:hAnsi="Aptos"/>
                <w:b/>
                <w:i w:val="0"/>
                <w:color w:val="FFFFFF"/>
                <w:sz w:val="16"/>
              </w:rPr>
              <w:t>Rule</w:t>
            </w:r>
          </w:p>
        </w:tc>
        <w:tc>
          <w:tcPr>
            <w:tcW w:type="dxa" w:w="3120"/>
            <w:shd w:fill="163A63"/>
            <w:tcMar>
              <w:top w:w="100" w:type="dxa"/>
              <w:start w:w="120" w:type="dxa"/>
              <w:bottom w:w="100" w:type="dxa"/>
              <w:end w:w="120" w:type="dxa"/>
            </w:tcMar>
            <w:vAlign w:val="center"/>
          </w:tcPr>
          <w:p>
            <w:pPr>
              <w:spacing w:after="0"/>
            </w:pPr>
            <w:r>
              <w:rPr>
                <w:rFonts w:ascii="Aptos" w:hAnsi="Aptos"/>
                <w:b/>
                <w:i w:val="0"/>
                <w:color w:val="FFFFFF"/>
                <w:sz w:val="16"/>
              </w:rPr>
              <w:t>Effect on worker</w:t>
            </w:r>
          </w:p>
        </w:tc>
        <w:tc>
          <w:tcPr>
            <w:tcW w:type="dxa" w:w="3120"/>
            <w:shd w:fill="163A63"/>
            <w:tcMar>
              <w:top w:w="100" w:type="dxa"/>
              <w:start w:w="120" w:type="dxa"/>
              <w:bottom w:w="100" w:type="dxa"/>
              <w:end w:w="120" w:type="dxa"/>
            </w:tcMar>
            <w:vAlign w:val="center"/>
          </w:tcPr>
          <w:p>
            <w:pPr>
              <w:spacing w:after="0"/>
            </w:pPr>
            <w:r>
              <w:rPr>
                <w:rFonts w:ascii="Aptos" w:hAnsi="Aptos"/>
                <w:b/>
                <w:i w:val="0"/>
                <w:color w:val="FFFFFF"/>
                <w:sz w:val="16"/>
              </w:rPr>
              <w:t>Question or record</w:t>
            </w:r>
          </w:p>
        </w:tc>
      </w:tr>
      <w:tr>
        <w:tc>
          <w:tcPr>
            <w:tcW w:type="dxa" w:w="3120"/>
            <w:tcMar>
              <w:top w:w="100" w:type="dxa"/>
              <w:start w:w="120" w:type="dxa"/>
              <w:bottom w:w="100" w:type="dxa"/>
              <w:end w:w="120" w:type="dxa"/>
            </w:tcMar>
            <w:vAlign w:val="center"/>
          </w:tcPr>
          <w:p>
            <w:pPr>
              <w:spacing w:after="0"/>
            </w:pPr>
            <w:r>
              <w:rPr>
                <w:rFonts w:ascii="Aptos" w:hAnsi="Aptos"/>
                <w:b w:val="0"/>
                <w:i w:val="0"/>
                <w:color w:val="1F2933"/>
                <w:sz w:val="16"/>
              </w:rPr>
              <w:t>60-day wait</w:t>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t>Immediate contribution</w:t>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120"/>
            <w:tcMar>
              <w:top w:w="100" w:type="dxa"/>
              <w:start w:w="120" w:type="dxa"/>
              <w:bottom w:w="100" w:type="dxa"/>
              <w:end w:w="120" w:type="dxa"/>
            </w:tcMar>
            <w:vAlign w:val="center"/>
          </w:tcPr>
          <w:p>
            <w:pPr>
              <w:spacing w:after="0"/>
            </w:pPr>
            <w:r>
              <w:rPr>
                <w:rFonts w:ascii="Aptos" w:hAnsi="Aptos"/>
                <w:b w:val="0"/>
                <w:i w:val="0"/>
                <w:color w:val="1F2933"/>
                <w:sz w:val="16"/>
              </w:rPr>
              <w:t>Four-year vesting</w:t>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t>PTO accrual</w:t>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120"/>
            <w:tcMar>
              <w:top w:w="100" w:type="dxa"/>
              <w:start w:w="120" w:type="dxa"/>
              <w:bottom w:w="100" w:type="dxa"/>
              <w:end w:w="120" w:type="dxa"/>
            </w:tcMar>
            <w:vAlign w:val="center"/>
          </w:tcPr>
          <w:p>
            <w:pPr>
              <w:spacing w:after="0"/>
            </w:pPr>
            <w:r>
              <w:rPr>
                <w:rFonts w:ascii="Aptos" w:hAnsi="Aptos"/>
                <w:b w:val="0"/>
                <w:i w:val="0"/>
                <w:color w:val="1F2933"/>
                <w:sz w:val="16"/>
              </w:rPr>
              <w:t>Leaving after two years</w:t>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r>
    </w:tbl>
    <w:p>
      <w:r>
        <w:t>Explain why a headline benefit may not be fully available on the first day.</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5 - Build a Benefits Decision Plan</w:t>
      </w:r>
    </w:p>
    <w:p>
      <w:r>
        <w:t>Casey expects regular medical visits, wants to save for retirement, and may leave the job after two years.</w:t>
      </w:r>
    </w:p>
    <w:tbl>
      <w:tblPr>
        <w:tblStyle w:val="TableGrid"/>
        <w:tblW w:type="dxa" w:w="9360"/>
        <w:jc w:val="center"/>
        <w:tblLayout w:type="fixed"/>
        <w:tblLook w:firstColumn="1" w:firstRow="1" w:lastColumn="0" w:lastRow="0" w:noHBand="0" w:noVBand="1" w:val="04A0"/>
        <w:tblInd w:w="120" w:type="dxa"/>
      </w:tblPr>
      <w:tblGrid>
        <w:gridCol w:w="4680"/>
        <w:gridCol w:w="4680"/>
      </w:tblGrid>
      <w:tr>
        <w:trPr>
          <w:tblHeader w:val="true"/>
          <w:tblHeader w:val="true"/>
        </w:trPr>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Decision check</w:t>
            </w:r>
          </w:p>
        </w:tc>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My evidence</w:t>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Annual premium</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Deductible</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Simplified health total</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Employee contribution</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Employer match</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Vested amount concern</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PTO/waiting period</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Questions and qualified choice</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Write 150-200 words using at least five figures and four plan questions.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