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INVESTING FUNDAMENTALS</w:t>
      </w:r>
    </w:p>
    <w:p>
      <w:pPr>
        <w:pStyle w:val="Title"/>
      </w:pPr>
      <w:r>
        <w:t>Dollar-Cost Averaging Decisions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Investment schedule analysis</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Calculate shares purchased through regular investing, compare the result with a one-time investment, and explain what dollar-cost averaging can and cannot do.</w:t>
            </w:r>
          </w:p>
        </w:tc>
      </w:tr>
    </w:tbl>
    <w:p>
      <w:pPr>
        <w:spacing w:after="0"/>
      </w:pPr>
    </w:p>
    <w:p>
      <w:pPr>
        <w:pStyle w:val="Heading1"/>
      </w:pPr>
      <w:r>
        <w:t>A Schedule, Not a Prediction</w:t>
      </w:r>
    </w:p>
    <w:p>
      <w:r>
        <w:t>Dollar-cost averaging means investing equal amounts at regular times, even when prices move up and down. The same dollar amount buys more shares when the price is lower and fewer shares when the price is higher. The strategy does not guarantee a profit or protect against loss.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7"/>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7"/>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Contribution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New money added to the investment.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Share price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Cost of one share at that time.</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Shares purchased</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Contribution divided by share price.</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Total shares</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All shares purchased added together.</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Average cost per share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Total invested divided by total shares.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Ending value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Total shares multiplied by ending share price.</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ROUNDING RULE  </w:t>
            </w:r>
            <w:r>
              <w:rPr>
                <w:rFonts w:ascii="Aptos" w:hAnsi="Aptos"/>
                <w:b w:val="0"/>
                <w:i w:val="0"/>
                <w:color w:val="1F2933"/>
                <w:sz w:val="20"/>
              </w:rPr>
              <w:t>Round shares to three decimal places when needed and money to the nearest cent. Keep unrounded values in your calculator until the final step.</w:t>
            </w:r>
          </w:p>
        </w:tc>
      </w:tr>
    </w:tbl>
    <w:p>
      <w:pPr>
        <w:spacing w:after="0"/>
      </w:pPr>
    </w:p>
    <w:p>
      <w:pPr>
        <w:spacing w:before="0" w:after="0" w:line="20" w:lineRule="exact"/>
      </w:pPr>
      <w:r>
        <w:rPr>
          <w:rFonts w:ascii="Aptos" w:hAnsi="Aptos"/>
          <w:b w:val="0"/>
          <w:i w:val="0"/>
          <w:color w:val="1F2933"/>
          <w:sz w:val="2"/>
        </w:rPr>
        <w:br w:type="page"/>
      </w:r>
    </w:p>
    <w:p>
      <w:pPr>
        <w:pStyle w:val="Heading1"/>
      </w:pPr>
      <w:r>
        <w:t>Part 1 - Follow a Four-Month Schedule</w:t>
      </w:r>
    </w:p>
    <w:tbl>
      <w:tblPr>
        <w:tblStyle w:val="TableGrid"/>
        <w:tblW w:type="dxa" w:w="9360"/>
        <w:jc w:val="center"/>
        <w:tblLayout w:type="fixed"/>
        <w:tblLook w:firstColumn="1" w:firstRow="1" w:lastColumn="0" w:lastRow="0" w:noHBand="0" w:noVBand="1" w:val="04A0"/>
        <w:tblInd w:w="120" w:type="dxa"/>
      </w:tblPr>
      <w:tblGrid>
        <w:gridCol w:w="1500"/>
        <w:gridCol w:w="1800"/>
        <w:gridCol w:w="1700"/>
        <w:gridCol w:w="2100"/>
        <w:gridCol w:w="2260"/>
      </w:tblGrid>
      <w:tr>
        <w:trPr>
          <w:tblHeader w:val="true"/>
        </w:trPr>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Month</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Contribution</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Share price</w:t>
            </w:r>
          </w:p>
        </w:tc>
        <w:tc>
          <w:tcPr>
            <w:tcW w:type="dxa" w:w="2100"/>
            <w:shd w:fill="163A63"/>
            <w:tcMar>
              <w:top w:w="100" w:type="dxa"/>
              <w:start w:w="120" w:type="dxa"/>
              <w:bottom w:w="100" w:type="dxa"/>
              <w:end w:w="120" w:type="dxa"/>
            </w:tcMar>
            <w:vAlign w:val="center"/>
          </w:tcPr>
          <w:p>
            <w:pPr>
              <w:spacing w:after="0"/>
            </w:pPr>
            <w:r>
              <w:rPr>
                <w:rFonts w:ascii="Aptos" w:hAnsi="Aptos"/>
                <w:b/>
                <w:i w:val="0"/>
                <w:color w:val="FFFFFF"/>
                <w:sz w:val="16"/>
              </w:rPr>
              <w:t>Shares purchased</w:t>
            </w:r>
          </w:p>
        </w:tc>
        <w:tc>
          <w:tcPr>
            <w:tcW w:type="dxa" w:w="2260"/>
            <w:shd w:fill="163A63"/>
            <w:tcMar>
              <w:top w:w="100" w:type="dxa"/>
              <w:start w:w="120" w:type="dxa"/>
              <w:bottom w:w="100" w:type="dxa"/>
              <w:end w:w="120" w:type="dxa"/>
            </w:tcMar>
            <w:vAlign w:val="center"/>
          </w:tcPr>
          <w:p>
            <w:pPr>
              <w:spacing w:after="0"/>
            </w:pPr>
            <w:r>
              <w:rPr>
                <w:rFonts w:ascii="Aptos" w:hAnsi="Aptos"/>
                <w:b/>
                <w:i w:val="0"/>
                <w:color w:val="FFFFFF"/>
                <w:sz w:val="16"/>
              </w:rPr>
              <w:t>Running total shares</w:t>
            </w:r>
          </w:p>
        </w:tc>
      </w:tr>
      <w:tr>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2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2</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$8.00</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2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$5.00</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2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2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shares purchased = contribution / share price. Find total invested, total shares, and average cost per share.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Find the Ending Value</w:t>
      </w:r>
    </w:p>
    <w:p>
      <w:r>
        <w:t>At the end of Month 4, the share price is $10.00.</w:t>
      </w:r>
    </w:p>
    <w:tbl>
      <w:tblPr>
        <w:tblStyle w:val="TableGrid"/>
        <w:tblW w:type="dxa" w:w="9360"/>
        <w:jc w:val="center"/>
        <w:tblLayout w:type="fixed"/>
        <w:tblLook w:firstColumn="1" w:firstRow="1" w:lastColumn="0" w:lastRow="0" w:noHBand="0" w:noVBand="1" w:val="04A0"/>
        <w:tblInd w:w="120" w:type="dxa"/>
      </w:tblPr>
      <w:tblGrid>
        <w:gridCol w:w="3700"/>
        <w:gridCol w:w="3300"/>
        <w:gridCol w:w="2360"/>
      </w:tblGrid>
      <w:tr>
        <w:trPr>
          <w:tblHeader w:val="true"/>
        </w:trPr>
        <w:tc>
          <w:tcPr>
            <w:tcW w:type="dxa" w:w="3700"/>
            <w:shd w:fill="163A63"/>
            <w:tcMar>
              <w:top w:w="100" w:type="dxa"/>
              <w:start w:w="120" w:type="dxa"/>
              <w:bottom w:w="100" w:type="dxa"/>
              <w:end w:w="120" w:type="dxa"/>
            </w:tcMar>
            <w:vAlign w:val="center"/>
          </w:tcPr>
          <w:p>
            <w:pPr>
              <w:spacing w:after="0"/>
            </w:pPr>
            <w:r>
              <w:rPr>
                <w:rFonts w:ascii="Aptos" w:hAnsi="Aptos"/>
                <w:b/>
                <w:i w:val="0"/>
                <w:color w:val="FFFFFF"/>
                <w:sz w:val="17"/>
              </w:rPr>
              <w:t>Measure</w:t>
            </w:r>
          </w:p>
        </w:tc>
        <w:tc>
          <w:tcPr>
            <w:tcW w:type="dxa" w:w="3300"/>
            <w:shd w:fill="163A63"/>
            <w:tcMar>
              <w:top w:w="100" w:type="dxa"/>
              <w:start w:w="120" w:type="dxa"/>
              <w:bottom w:w="100" w:type="dxa"/>
              <w:end w:w="120" w:type="dxa"/>
            </w:tcMar>
            <w:vAlign w:val="center"/>
          </w:tcPr>
          <w:p>
            <w:pPr>
              <w:spacing w:after="0"/>
            </w:pPr>
            <w:r>
              <w:rPr>
                <w:rFonts w:ascii="Aptos" w:hAnsi="Aptos"/>
                <w:b/>
                <w:i w:val="0"/>
                <w:color w:val="FFFFFF"/>
                <w:sz w:val="17"/>
              </w:rPr>
              <w:t>Calculation</w:t>
            </w:r>
          </w:p>
        </w:tc>
        <w:tc>
          <w:tcPr>
            <w:tcW w:type="dxa" w:w="2360"/>
            <w:shd w:fill="163A63"/>
            <w:tcMar>
              <w:top w:w="100" w:type="dxa"/>
              <w:start w:w="120" w:type="dxa"/>
              <w:bottom w:w="100" w:type="dxa"/>
              <w:end w:w="120" w:type="dxa"/>
            </w:tcMar>
            <w:vAlign w:val="center"/>
          </w:tcPr>
          <w:p>
            <w:pPr>
              <w:spacing w:after="0"/>
            </w:pPr>
            <w:r>
              <w:rPr>
                <w:rFonts w:ascii="Aptos" w:hAnsi="Aptos"/>
                <w:b/>
                <w:i w:val="0"/>
                <w:color w:val="FFFFFF"/>
                <w:sz w:val="17"/>
              </w:rPr>
              <w:t>Answer</w:t>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7"/>
              </w:rPr>
              <w:t>Total invested</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7"/>
              </w:rPr>
              <w:t>Total shares</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3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7"/>
              </w:rPr>
              <w:t>Average cost per share</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7"/>
              </w:rPr>
              <w:t>Ending value</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3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7"/>
              </w:rPr>
              <w:t>Dollar gain or loss</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7"/>
              </w:rPr>
              <w:t>Percent gain or loss</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7"/>
              </w:rPr>
            </w:r>
          </w:p>
        </w:tc>
        <w:tc>
          <w:tcPr>
            <w:tcW w:type="dxa" w:w="23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bl>
    <w:p>
      <w:r>
        <w:t>Explain how the purchases at $8 and $5 affected the total number of shares.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Compare a One-Time Investment</w:t>
      </w:r>
    </w:p>
    <w:p>
      <w:r>
        <w:t>A second investor puts the full $400 into the same fictional investment in Month 1 at $10 per share and makes no later purchases.</w:t>
      </w:r>
    </w:p>
    <w:tbl>
      <w:tblPr>
        <w:tblStyle w:val="TableGrid"/>
        <w:tblW w:type="dxa" w:w="9360"/>
        <w:jc w:val="center"/>
        <w:tblLayout w:type="fixed"/>
        <w:tblLook w:firstColumn="1" w:firstRow="1" w:lastColumn="0" w:lastRow="0" w:noHBand="0" w:noVBand="1" w:val="04A0"/>
        <w:tblInd w:w="120" w:type="dxa"/>
      </w:tblPr>
      <w:tblGrid>
        <w:gridCol w:w="2800"/>
        <w:gridCol w:w="2400"/>
        <w:gridCol w:w="2500"/>
        <w:gridCol w:w="1660"/>
      </w:tblGrid>
      <w:tr>
        <w:trPr>
          <w:tblHeader w:val="true"/>
        </w:trPr>
        <w:tc>
          <w:tcPr>
            <w:tcW w:type="dxa" w:w="2800"/>
            <w:shd w:fill="163A63"/>
            <w:tcMar>
              <w:top w:w="100" w:type="dxa"/>
              <w:start w:w="120" w:type="dxa"/>
              <w:bottom w:w="100" w:type="dxa"/>
              <w:end w:w="120" w:type="dxa"/>
            </w:tcMar>
            <w:vAlign w:val="center"/>
          </w:tcPr>
          <w:p>
            <w:pPr>
              <w:spacing w:after="0"/>
            </w:pPr>
            <w:r>
              <w:rPr>
                <w:rFonts w:ascii="Aptos" w:hAnsi="Aptos"/>
                <w:b/>
                <w:i w:val="0"/>
                <w:color w:val="FFFFFF"/>
                <w:sz w:val="16"/>
              </w:rPr>
              <w:t>Measure</w:t>
            </w:r>
          </w:p>
        </w:tc>
        <w:tc>
          <w:tcPr>
            <w:tcW w:type="dxa" w:w="2400"/>
            <w:shd w:fill="163A63"/>
            <w:tcMar>
              <w:top w:w="100" w:type="dxa"/>
              <w:start w:w="120" w:type="dxa"/>
              <w:bottom w:w="100" w:type="dxa"/>
              <w:end w:w="120" w:type="dxa"/>
            </w:tcMar>
            <w:vAlign w:val="center"/>
          </w:tcPr>
          <w:p>
            <w:pPr>
              <w:spacing w:after="0"/>
            </w:pPr>
            <w:r>
              <w:rPr>
                <w:rFonts w:ascii="Aptos" w:hAnsi="Aptos"/>
                <w:b/>
                <w:i w:val="0"/>
                <w:color w:val="FFFFFF"/>
                <w:sz w:val="16"/>
              </w:rPr>
              <w:t>Regular $100 schedule</w:t>
            </w:r>
          </w:p>
        </w:tc>
        <w:tc>
          <w:tcPr>
            <w:tcW w:type="dxa" w:w="2500"/>
            <w:shd w:fill="163A63"/>
            <w:tcMar>
              <w:top w:w="100" w:type="dxa"/>
              <w:start w:w="120" w:type="dxa"/>
              <w:bottom w:w="100" w:type="dxa"/>
              <w:end w:w="120" w:type="dxa"/>
            </w:tcMar>
            <w:vAlign w:val="center"/>
          </w:tcPr>
          <w:p>
            <w:pPr>
              <w:spacing w:after="0"/>
            </w:pPr>
            <w:r>
              <w:rPr>
                <w:rFonts w:ascii="Aptos" w:hAnsi="Aptos"/>
                <w:b/>
                <w:i w:val="0"/>
                <w:color w:val="FFFFFF"/>
                <w:sz w:val="16"/>
              </w:rPr>
              <w:t>One-time $400 investment</w:t>
            </w:r>
          </w:p>
        </w:tc>
        <w:tc>
          <w:tcPr>
            <w:tcW w:type="dxa" w:w="1660"/>
            <w:shd w:fill="163A63"/>
            <w:tcMar>
              <w:top w:w="100" w:type="dxa"/>
              <w:start w:w="120" w:type="dxa"/>
              <w:bottom w:w="100" w:type="dxa"/>
              <w:end w:w="120" w:type="dxa"/>
            </w:tcMar>
            <w:vAlign w:val="center"/>
          </w:tcPr>
          <w:p>
            <w:pPr>
              <w:spacing w:after="0"/>
            </w:pPr>
            <w:r>
              <w:rPr>
                <w:rFonts w:ascii="Aptos" w:hAnsi="Aptos"/>
                <w:b/>
                <w:i w:val="0"/>
                <w:color w:val="FFFFFF"/>
                <w:sz w:val="16"/>
              </w:rPr>
              <w:t>Difference</w:t>
            </w:r>
          </w:p>
        </w:tc>
      </w:tr>
      <w:tr>
        <w:tc>
          <w:tcPr>
            <w:tcW w:type="dxa" w:w="2800"/>
            <w:tcMar>
              <w:top w:w="100" w:type="dxa"/>
              <w:start w:w="120" w:type="dxa"/>
              <w:bottom w:w="100" w:type="dxa"/>
              <w:end w:w="120" w:type="dxa"/>
            </w:tcMar>
            <w:vAlign w:val="center"/>
          </w:tcPr>
          <w:p>
            <w:pPr>
              <w:spacing w:after="0"/>
            </w:pPr>
            <w:r>
              <w:rPr>
                <w:rFonts w:ascii="Aptos" w:hAnsi="Aptos"/>
                <w:b w:val="0"/>
                <w:i w:val="0"/>
                <w:color w:val="1F2933"/>
                <w:sz w:val="16"/>
              </w:rPr>
              <w:t>Total invested</w:t>
            </w:r>
          </w:p>
        </w:tc>
        <w:tc>
          <w:tcPr>
            <w:tcW w:type="dxa" w:w="2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800"/>
            <w:shd w:fill="F4F6F8"/>
            <w:tcMar>
              <w:top w:w="100" w:type="dxa"/>
              <w:start w:w="120" w:type="dxa"/>
              <w:bottom w:w="100" w:type="dxa"/>
              <w:end w:w="120" w:type="dxa"/>
            </w:tcMar>
            <w:vAlign w:val="center"/>
          </w:tcPr>
          <w:p>
            <w:pPr>
              <w:spacing w:after="0"/>
            </w:pPr>
            <w:r>
              <w:rPr>
                <w:rFonts w:ascii="Aptos" w:hAnsi="Aptos"/>
                <w:b w:val="0"/>
                <w:i w:val="0"/>
                <w:color w:val="1F2933"/>
                <w:sz w:val="16"/>
              </w:rPr>
              <w:t>Shares owned</w:t>
            </w:r>
          </w:p>
        </w:tc>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800"/>
            <w:tcMar>
              <w:top w:w="100" w:type="dxa"/>
              <w:start w:w="120" w:type="dxa"/>
              <w:bottom w:w="100" w:type="dxa"/>
              <w:end w:w="120" w:type="dxa"/>
            </w:tcMar>
            <w:vAlign w:val="center"/>
          </w:tcPr>
          <w:p>
            <w:pPr>
              <w:spacing w:after="0"/>
            </w:pPr>
            <w:r>
              <w:rPr>
                <w:rFonts w:ascii="Aptos" w:hAnsi="Aptos"/>
                <w:b w:val="0"/>
                <w:i w:val="0"/>
                <w:color w:val="1F2933"/>
                <w:sz w:val="16"/>
              </w:rPr>
              <w:t>Average cost per share</w:t>
            </w:r>
          </w:p>
        </w:tc>
        <w:tc>
          <w:tcPr>
            <w:tcW w:type="dxa" w:w="2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800"/>
            <w:shd w:fill="F4F6F8"/>
            <w:tcMar>
              <w:top w:w="100" w:type="dxa"/>
              <w:start w:w="120" w:type="dxa"/>
              <w:bottom w:w="100" w:type="dxa"/>
              <w:end w:w="120" w:type="dxa"/>
            </w:tcMar>
            <w:vAlign w:val="center"/>
          </w:tcPr>
          <w:p>
            <w:pPr>
              <w:spacing w:after="0"/>
            </w:pPr>
            <w:r>
              <w:rPr>
                <w:rFonts w:ascii="Aptos" w:hAnsi="Aptos"/>
                <w:b w:val="0"/>
                <w:i w:val="0"/>
                <w:color w:val="1F2933"/>
                <w:sz w:val="16"/>
              </w:rPr>
              <w:t>Ending value at $10</w:t>
            </w:r>
          </w:p>
        </w:tc>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800"/>
            <w:tcMar>
              <w:top w:w="100" w:type="dxa"/>
              <w:start w:w="120" w:type="dxa"/>
              <w:bottom w:w="100" w:type="dxa"/>
              <w:end w:w="120" w:type="dxa"/>
            </w:tcMar>
            <w:vAlign w:val="center"/>
          </w:tcPr>
          <w:p>
            <w:pPr>
              <w:spacing w:after="0"/>
            </w:pPr>
            <w:r>
              <w:rPr>
                <w:rFonts w:ascii="Aptos" w:hAnsi="Aptos"/>
                <w:b w:val="0"/>
                <w:i w:val="0"/>
                <w:color w:val="1F2933"/>
                <w:sz w:val="16"/>
              </w:rPr>
              <w:t>Dollar gain or loss</w:t>
            </w:r>
          </w:p>
        </w:tc>
        <w:tc>
          <w:tcPr>
            <w:tcW w:type="dxa" w:w="2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bl>
    <w:p>
      <w:r>
        <w:t>Which approach has the higher ending value in this falling-then-recovering example? Why does this single example not prove one approach always wins?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Evaluate the Strategy</w:t>
      </w:r>
    </w:p>
    <w:tbl>
      <w:tblPr>
        <w:tblStyle w:val="TableGrid"/>
        <w:tblW w:type="dxa" w:w="9360"/>
        <w:jc w:val="center"/>
        <w:tblLayout w:type="fixed"/>
        <w:tblLook w:firstColumn="1" w:firstRow="1" w:lastColumn="0" w:lastRow="0" w:noHBand="0" w:noVBand="1" w:val="04A0"/>
        <w:tblInd w:w="120" w:type="dxa"/>
      </w:tblPr>
      <w:tblGrid>
        <w:gridCol w:w="3700"/>
        <w:gridCol w:w="3100"/>
        <w:gridCol w:w="2560"/>
      </w:tblGrid>
      <w:tr>
        <w:trPr>
          <w:tblHeader w:val="true"/>
        </w:trPr>
        <w:tc>
          <w:tcPr>
            <w:tcW w:type="dxa" w:w="3700"/>
            <w:shd w:fill="163A63"/>
            <w:tcMar>
              <w:top w:w="100" w:type="dxa"/>
              <w:start w:w="120" w:type="dxa"/>
              <w:bottom w:w="100" w:type="dxa"/>
              <w:end w:w="120" w:type="dxa"/>
            </w:tcMar>
            <w:vAlign w:val="center"/>
          </w:tcPr>
          <w:p>
            <w:pPr>
              <w:spacing w:after="0"/>
            </w:pPr>
            <w:r>
              <w:rPr>
                <w:rFonts w:ascii="Aptos" w:hAnsi="Aptos"/>
                <w:b/>
                <w:i w:val="0"/>
                <w:color w:val="FFFFFF"/>
                <w:sz w:val="16"/>
              </w:rPr>
              <w:t>Claim</w:t>
            </w:r>
          </w:p>
        </w:tc>
        <w:tc>
          <w:tcPr>
            <w:tcW w:type="dxa" w:w="3100"/>
            <w:shd w:fill="163A63"/>
            <w:tcMar>
              <w:top w:w="100" w:type="dxa"/>
              <w:start w:w="120" w:type="dxa"/>
              <w:bottom w:w="100" w:type="dxa"/>
              <w:end w:w="120" w:type="dxa"/>
            </w:tcMar>
            <w:vAlign w:val="center"/>
          </w:tcPr>
          <w:p>
            <w:pPr>
              <w:spacing w:after="0"/>
            </w:pPr>
            <w:r>
              <w:rPr>
                <w:rFonts w:ascii="Aptos" w:hAnsi="Aptos"/>
                <w:b/>
                <w:i w:val="0"/>
                <w:color w:val="FFFFFF"/>
                <w:sz w:val="16"/>
              </w:rPr>
              <w:t>Supported, unsupported, or depends?</w:t>
            </w:r>
          </w:p>
        </w:tc>
        <w:tc>
          <w:tcPr>
            <w:tcW w:type="dxa" w:w="2560"/>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Regular investing guarantees a profit.</w:t>
            </w:r>
          </w:p>
        </w:tc>
        <w:tc>
          <w:tcPr>
            <w:tcW w:type="dxa" w:w="3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6"/>
              </w:rPr>
              <w:t>A fixed contribution buys more shares at lower prices.</w:t>
            </w:r>
          </w:p>
        </w:tc>
        <w:tc>
          <w:tcPr>
            <w:tcW w:type="dxa" w:w="3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A one-time investment always performs worse.</w:t>
            </w:r>
          </w:p>
        </w:tc>
        <w:tc>
          <w:tcPr>
            <w:tcW w:type="dxa" w:w="3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6"/>
              </w:rPr>
              <w:t>A regular schedule can reduce pressure to guess the perfect day.</w:t>
            </w:r>
          </w:p>
        </w:tc>
        <w:tc>
          <w:tcPr>
            <w:tcW w:type="dxa" w:w="3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Fees and available cash still matter.</w:t>
            </w:r>
          </w:p>
        </w:tc>
        <w:tc>
          <w:tcPr>
            <w:tcW w:type="dxa" w:w="3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560"/>
            <w:tcMar>
              <w:top w:w="100" w:type="dxa"/>
              <w:start w:w="120" w:type="dxa"/>
              <w:bottom w:w="100" w:type="dxa"/>
              <w:end w:w="120" w:type="dxa"/>
            </w:tcMar>
            <w:vAlign w:val="center"/>
          </w:tcPr>
          <w:p>
            <w:pPr>
              <w:spacing w:after="0"/>
            </w:pPr>
            <w:r>
              <w:rPr>
                <w:rFonts w:ascii="Aptos" w:hAnsi="Aptos"/>
                <w:b w:val="0"/>
                <w:i w:val="0"/>
                <w:color w:val="1F2933"/>
                <w:sz w:val="16"/>
              </w:rPr>
            </w:r>
          </w:p>
        </w:tc>
      </w:tr>
    </w:tbl>
    <w:p>
      <w:r>
        <w:t>Correct any unsupported claim using accurate, student-friendly language.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Schedule Recommendation</w:t>
      </w:r>
    </w:p>
    <w:tbl>
      <w:tblPr>
        <w:tblStyle w:val="TableGrid"/>
        <w:tblW w:type="dxa" w:w="9360"/>
        <w:jc w:val="center"/>
        <w:tblLayout w:type="fixed"/>
        <w:tblLook w:firstColumn="1" w:firstRow="1" w:lastColumn="0" w:lastRow="0" w:noHBand="0" w:noVBand="1" w:val="04A0"/>
        <w:tblInd w:w="120" w:type="dxa"/>
      </w:tblPr>
      <w:tblGrid>
        <w:gridCol w:w="3900"/>
        <w:gridCol w:w="5460"/>
      </w:tblGrid>
      <w:tr>
        <w:trPr>
          <w:tblHeader w:val="true"/>
        </w:trPr>
        <w:tc>
          <w:tcPr>
            <w:tcW w:type="dxa" w:w="3900"/>
            <w:shd w:fill="163A63"/>
            <w:tcMar>
              <w:top w:w="100" w:type="dxa"/>
              <w:start w:w="120" w:type="dxa"/>
              <w:bottom w:w="100" w:type="dxa"/>
              <w:end w:w="120" w:type="dxa"/>
            </w:tcMar>
            <w:vAlign w:val="center"/>
          </w:tcPr>
          <w:p>
            <w:pPr>
              <w:spacing w:after="0"/>
            </w:pPr>
            <w:r>
              <w:rPr>
                <w:rFonts w:ascii="Aptos" w:hAnsi="Aptos"/>
                <w:b/>
                <w:i w:val="0"/>
                <w:color w:val="FFFFFF"/>
                <w:sz w:val="17"/>
              </w:rPr>
              <w:t>Decision check</w:t>
            </w:r>
          </w:p>
        </w:tc>
        <w:tc>
          <w:tcPr>
            <w:tcW w:type="dxa" w:w="5460"/>
            <w:shd w:fill="163A63"/>
            <w:tcMar>
              <w:top w:w="100" w:type="dxa"/>
              <w:start w:w="120" w:type="dxa"/>
              <w:bottom w:w="100" w:type="dxa"/>
              <w:end w:w="120" w:type="dxa"/>
            </w:tcMar>
            <w:vAlign w:val="center"/>
          </w:tcPr>
          <w:p>
            <w:pPr>
              <w:spacing w:after="0"/>
            </w:pPr>
            <w:r>
              <w:rPr>
                <w:rFonts w:ascii="Aptos" w:hAnsi="Aptos"/>
                <w:b/>
                <w:i w:val="0"/>
                <w:color w:val="FFFFFF"/>
                <w:sz w:val="17"/>
              </w:rPr>
              <w:t>My evidence</w:t>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Amount available each month</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Emergency savings protected</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Schedule frequency</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Total planned contribution</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Share calculation</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Ending-value comparison</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No-guarantee statement</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Fee or research question</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bl>
    <w:p>
      <w:r>
        <w:t>Write a 150-200 word recommendation for a fictional teen with $100 available monthly for four months. Include the share math, average cost, ending value, comparison with the one-time investment, and two limits of the strategy.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