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b/>
          <w:i w:val="0"/>
          <w:color w:val="D89A2B"/>
          <w:sz w:val="18"/>
        </w:rPr>
        <w:t>CREDIT AND BORROWING</w:t>
      </w:r>
    </w:p>
    <w:p>
      <w:pPr>
        <w:pStyle w:val="Title"/>
      </w:pPr>
      <w:r>
        <w:t>Comparing Loan Offers</w:t>
      </w:r>
    </w:p>
    <w:p>
      <w:pPr>
        <w:pStyle w:val="Subtitle"/>
      </w:pPr>
      <w:r>
        <w:t>Detailed practice, calculation, decision-making, and assessment</w:t>
      </w:r>
    </w:p>
    <w:tbl>
      <w:tblPr>
        <w:tblStyle w:val="TableGrid"/>
        <w:tblW w:type="dxa" w:w="9360"/>
        <w:jc w:val="center"/>
        <w:tblLayout w:type="fixed"/>
        <w:tblLook w:firstColumn="1" w:firstRow="1" w:lastColumn="0" w:lastRow="0" w:noHBand="0" w:noVBand="1" w:val="04A0"/>
        <w:tblInd w:w="120" w:type="dxa"/>
      </w:tblPr>
      <w:tblGrid>
        <w:gridCol w:w="2340"/>
        <w:gridCol w:w="2340"/>
        <w:gridCol w:w="2340"/>
        <w:gridCol w:w="2340"/>
      </w:tblGrid>
      <w:tr>
        <w:trPr>
          <w:tblHeader w:val="true"/>
        </w:trPr>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GRADES</w:t>
              <w:br/>
            </w:r>
            <w:r>
              <w:rPr>
                <w:rFonts w:ascii="Aptos" w:hAnsi="Aptos"/>
                <w:b/>
                <w:i w:val="0"/>
                <w:color w:val="163A63"/>
                <w:sz w:val="20"/>
              </w:rPr>
              <w:t>9-12</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TIME</w:t>
              <w:br/>
            </w:r>
            <w:r>
              <w:rPr>
                <w:rFonts w:ascii="Aptos" w:hAnsi="Aptos"/>
                <w:b/>
                <w:i w:val="0"/>
                <w:color w:val="163A63"/>
                <w:sz w:val="20"/>
              </w:rPr>
              <w:t>2 x 42 min</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GROUPING</w:t>
              <w:br/>
            </w:r>
            <w:r>
              <w:rPr>
                <w:rFonts w:ascii="Aptos" w:hAnsi="Aptos"/>
                <w:b/>
                <w:i w:val="0"/>
                <w:color w:val="163A63"/>
                <w:sz w:val="20"/>
              </w:rPr>
              <w:t>I / pairs / whole</w:t>
            </w:r>
          </w:p>
        </w:tc>
        <w:tc>
          <w:tcPr>
            <w:tcW w:type="dxa" w:w="2340"/>
            <w:tcMar>
              <w:top w:w="100" w:type="dxa"/>
              <w:start w:w="120" w:type="dxa"/>
              <w:bottom w:w="100" w:type="dxa"/>
              <w:end w:w="120" w:type="dxa"/>
            </w:tcMar>
            <w:vAlign w:val="center"/>
            <w:shd w:fill="EAF2F8"/>
          </w:tcPr>
          <w:p>
            <w:pPr>
              <w:spacing w:after="0"/>
            </w:pPr>
            <w:r>
              <w:rPr>
                <w:rFonts w:ascii="Aptos" w:hAnsi="Aptos"/>
                <w:b/>
                <w:i w:val="0"/>
                <w:color w:val="2E5D89"/>
                <w:sz w:val="16"/>
              </w:rPr>
              <w:t>PRODUCT</w:t>
              <w:br/>
            </w:r>
            <w:r>
              <w:rPr>
                <w:rFonts w:ascii="Aptos" w:hAnsi="Aptos"/>
                <w:b/>
                <w:i w:val="0"/>
                <w:color w:val="163A63"/>
                <w:sz w:val="20"/>
              </w:rPr>
              <w:t>Loan comparison recommendation</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YOUR CHALLENGE  </w:t>
            </w:r>
            <w:r>
              <w:rPr>
                <w:rFonts w:ascii="Aptos" w:hAnsi="Aptos"/>
                <w:b w:val="0"/>
                <w:i w:val="0"/>
                <w:color w:val="1F2933"/>
                <w:sz w:val="20"/>
              </w:rPr>
              <w:t>Compare three fictional $3,000 loan offers. Look beyond the monthly payment by calculating fees, total repaid, and the effect of the loan length.</w:t>
            </w:r>
          </w:p>
        </w:tc>
      </w:tr>
    </w:tbl>
    <w:p>
      <w:pPr>
        <w:spacing w:after="0"/>
      </w:pPr>
    </w:p>
    <w:p>
      <w:pPr>
        <w:pStyle w:val="Heading1"/>
      </w:pPr>
      <w:r>
        <w:t>A Smaller Payment Can Cost More Overall</w:t>
      </w:r>
    </w:p>
    <w:p>
      <w:r>
        <w:t>A loan provides money now that must be repaid later. The cost depends on the rate, fees, number of payments, and other rules. APR is designed to help compare yearly borrowing cost because it includes the interest rate and certain lender fees.</w:t>
      </w:r>
    </w:p>
    <w:tbl>
      <w:tblPr>
        <w:tblStyle w:val="TableGrid"/>
        <w:tblW w:type="dxa" w:w="9360"/>
        <w:jc w:val="center"/>
        <w:tblLayout w:type="fixed"/>
        <w:tblLook w:firstColumn="1" w:firstRow="1" w:lastColumn="0" w:lastRow="0" w:noHBand="0" w:noVBand="1" w:val="04A0"/>
        <w:tblInd w:w="120" w:type="dxa"/>
      </w:tblPr>
      <w:tblGrid>
        <w:gridCol w:w="2400"/>
        <w:gridCol w:w="6960"/>
      </w:tblGrid>
      <w:tr>
        <w:trPr>
          <w:tblHeader w:val="true"/>
        </w:trPr>
        <w:tc>
          <w:tcPr>
            <w:tcW w:type="dxa" w:w="2400"/>
            <w:shd w:fill="163A63"/>
            <w:tcMar>
              <w:top w:w="100" w:type="dxa"/>
              <w:start w:w="120" w:type="dxa"/>
              <w:bottom w:w="100" w:type="dxa"/>
              <w:end w:w="120" w:type="dxa"/>
            </w:tcMar>
            <w:vAlign w:val="center"/>
          </w:tcPr>
          <w:p>
            <w:pPr>
              <w:spacing w:after="0"/>
            </w:pPr>
            <w:r>
              <w:rPr>
                <w:rFonts w:ascii="Aptos" w:hAnsi="Aptos"/>
                <w:b/>
                <w:i w:val="0"/>
                <w:color w:val="FFFFFF"/>
                <w:sz w:val="17"/>
              </w:rPr>
              <w:t>Term</w:t>
            </w:r>
          </w:p>
        </w:tc>
        <w:tc>
          <w:tcPr>
            <w:tcW w:type="dxa" w:w="6960"/>
            <w:shd w:fill="163A63"/>
            <w:tcMar>
              <w:top w:w="100" w:type="dxa"/>
              <w:start w:w="120" w:type="dxa"/>
              <w:bottom w:w="100" w:type="dxa"/>
              <w:end w:w="120" w:type="dxa"/>
            </w:tcMar>
            <w:vAlign w:val="center"/>
          </w:tcPr>
          <w:p>
            <w:pPr>
              <w:spacing w:after="0"/>
            </w:pPr>
            <w:r>
              <w:rPr>
                <w:rFonts w:ascii="Aptos" w:hAnsi="Aptos"/>
                <w:b/>
                <w:i w:val="0"/>
                <w:color w:val="FFFFFF"/>
                <w:sz w:val="17"/>
              </w:rPr>
              <w:t>Student-friendly meaning</w:t>
            </w:r>
          </w:p>
        </w:tc>
      </w:tr>
      <w:tr>
        <w:tc>
          <w:tcPr>
            <w:tcW w:type="dxa" w:w="2400"/>
            <w:tcMar>
              <w:top w:w="100" w:type="dxa"/>
              <w:start w:w="120" w:type="dxa"/>
              <w:bottom w:w="100" w:type="dxa"/>
              <w:end w:w="120" w:type="dxa"/>
            </w:tcMar>
            <w:vAlign w:val="center"/>
          </w:tcPr>
          <w:p>
            <w:pPr>
              <w:spacing w:after="0"/>
            </w:pPr>
            <w:r>
              <w:rPr>
                <w:rFonts w:ascii="Aptos" w:hAnsi="Aptos"/>
                <w:b w:val="0"/>
                <w:i w:val="0"/>
                <w:color w:val="1F2933"/>
                <w:sz w:val="17"/>
              </w:rPr>
              <w:t>Principal</w:t>
            </w:r>
          </w:p>
        </w:tc>
        <w:tc>
          <w:tcPr>
            <w:tcW w:type="dxa" w:w="6960"/>
            <w:tcMar>
              <w:top w:w="100" w:type="dxa"/>
              <w:start w:w="120" w:type="dxa"/>
              <w:bottom w:w="100" w:type="dxa"/>
              <w:end w:w="120" w:type="dxa"/>
            </w:tcMar>
            <w:vAlign w:val="center"/>
          </w:tcPr>
          <w:p>
            <w:pPr>
              <w:spacing w:after="0"/>
            </w:pPr>
            <w:r>
              <w:rPr>
                <w:rFonts w:ascii="Aptos" w:hAnsi="Aptos"/>
                <w:b w:val="0"/>
                <w:i w:val="0"/>
                <w:color w:val="1F2933"/>
                <w:sz w:val="17"/>
              </w:rPr>
              <w:t>The amount borrowed.</w:t>
            </w:r>
          </w:p>
        </w:tc>
      </w:tr>
      <w:tr>
        <w:tc>
          <w:tcPr>
            <w:tcW w:type="dxa" w:w="2400"/>
            <w:shd w:fill="F4F6F8"/>
            <w:tcMar>
              <w:top w:w="100" w:type="dxa"/>
              <w:start w:w="120" w:type="dxa"/>
              <w:bottom w:w="100" w:type="dxa"/>
              <w:end w:w="120" w:type="dxa"/>
            </w:tcMar>
            <w:vAlign w:val="center"/>
          </w:tcPr>
          <w:p>
            <w:pPr>
              <w:spacing w:after="0"/>
            </w:pPr>
            <w:r>
              <w:rPr>
                <w:rFonts w:ascii="Aptos" w:hAnsi="Aptos"/>
                <w:b w:val="0"/>
                <w:i w:val="0"/>
                <w:color w:val="1F2933"/>
                <w:sz w:val="17"/>
              </w:rPr>
              <w:t>Interest</w:t>
            </w:r>
          </w:p>
        </w:tc>
        <w:tc>
          <w:tcPr>
            <w:tcW w:type="dxa" w:w="6960"/>
            <w:shd w:fill="F4F6F8"/>
            <w:tcMar>
              <w:top w:w="100" w:type="dxa"/>
              <w:start w:w="120" w:type="dxa"/>
              <w:bottom w:w="100" w:type="dxa"/>
              <w:end w:w="120" w:type="dxa"/>
            </w:tcMar>
            <w:vAlign w:val="center"/>
          </w:tcPr>
          <w:p>
            <w:pPr>
              <w:spacing w:after="0"/>
            </w:pPr>
            <w:r>
              <w:rPr>
                <w:rFonts w:ascii="Aptos" w:hAnsi="Aptos"/>
                <w:b w:val="0"/>
                <w:i w:val="0"/>
                <w:color w:val="1F2933"/>
                <w:sz w:val="17"/>
              </w:rPr>
              <w:t>The cost paid for using borrowed money.</w:t>
            </w:r>
          </w:p>
        </w:tc>
      </w:tr>
      <w:tr>
        <w:tc>
          <w:tcPr>
            <w:tcW w:type="dxa" w:w="2400"/>
            <w:tcMar>
              <w:top w:w="100" w:type="dxa"/>
              <w:start w:w="120" w:type="dxa"/>
              <w:bottom w:w="100" w:type="dxa"/>
              <w:end w:w="120" w:type="dxa"/>
            </w:tcMar>
            <w:vAlign w:val="center"/>
          </w:tcPr>
          <w:p>
            <w:pPr>
              <w:spacing w:after="0"/>
            </w:pPr>
            <w:r>
              <w:rPr>
                <w:rFonts w:ascii="Aptos" w:hAnsi="Aptos"/>
                <w:b w:val="0"/>
                <w:i w:val="0"/>
                <w:color w:val="1F2933"/>
                <w:sz w:val="17"/>
              </w:rPr>
              <w:t>APR</w:t>
            </w:r>
          </w:p>
        </w:tc>
        <w:tc>
          <w:tcPr>
            <w:tcW w:type="dxa" w:w="6960"/>
            <w:tcMar>
              <w:top w:w="100" w:type="dxa"/>
              <w:start w:w="120" w:type="dxa"/>
              <w:bottom w:w="100" w:type="dxa"/>
              <w:end w:w="120" w:type="dxa"/>
            </w:tcMar>
            <w:vAlign w:val="center"/>
          </w:tcPr>
          <w:p>
            <w:pPr>
              <w:spacing w:after="0"/>
            </w:pPr>
            <w:r>
              <w:rPr>
                <w:rFonts w:ascii="Aptos" w:hAnsi="Aptos"/>
                <w:b w:val="0"/>
                <w:i w:val="0"/>
                <w:color w:val="1F2933"/>
                <w:sz w:val="17"/>
              </w:rPr>
              <w:t>A yearly percentage that includes the interest rate and certain fees.</w:t>
            </w:r>
          </w:p>
        </w:tc>
      </w:tr>
      <w:tr>
        <w:tc>
          <w:tcPr>
            <w:tcW w:type="dxa" w:w="2400"/>
            <w:shd w:fill="F4F6F8"/>
            <w:tcMar>
              <w:top w:w="100" w:type="dxa"/>
              <w:start w:w="120" w:type="dxa"/>
              <w:bottom w:w="100" w:type="dxa"/>
              <w:end w:w="120" w:type="dxa"/>
            </w:tcMar>
            <w:vAlign w:val="center"/>
          </w:tcPr>
          <w:p>
            <w:pPr>
              <w:spacing w:after="0"/>
            </w:pPr>
            <w:r>
              <w:rPr>
                <w:rFonts w:ascii="Aptos" w:hAnsi="Aptos"/>
                <w:b w:val="0"/>
                <w:i w:val="0"/>
                <w:color w:val="1F2933"/>
                <w:sz w:val="17"/>
              </w:rPr>
              <w:t>Finance charge</w:t>
            </w:r>
          </w:p>
        </w:tc>
        <w:tc>
          <w:tcPr>
            <w:tcW w:type="dxa" w:w="6960"/>
            <w:shd w:fill="F4F6F8"/>
            <w:tcMar>
              <w:top w:w="100" w:type="dxa"/>
              <w:start w:w="120" w:type="dxa"/>
              <w:bottom w:w="100" w:type="dxa"/>
              <w:end w:w="120" w:type="dxa"/>
            </w:tcMar>
            <w:vAlign w:val="center"/>
          </w:tcPr>
          <w:p>
            <w:pPr>
              <w:spacing w:after="0"/>
            </w:pPr>
            <w:r>
              <w:rPr>
                <w:rFonts w:ascii="Aptos" w:hAnsi="Aptos"/>
                <w:b w:val="0"/>
                <w:i w:val="0"/>
                <w:color w:val="1F2933"/>
                <w:sz w:val="17"/>
              </w:rPr>
              <w:t>The total dollar cost of credit shown for the activity.</w:t>
            </w:r>
          </w:p>
        </w:tc>
      </w:tr>
      <w:tr>
        <w:tc>
          <w:tcPr>
            <w:tcW w:type="dxa" w:w="2400"/>
            <w:tcMar>
              <w:top w:w="100" w:type="dxa"/>
              <w:start w:w="120" w:type="dxa"/>
              <w:bottom w:w="100" w:type="dxa"/>
              <w:end w:w="120" w:type="dxa"/>
            </w:tcMar>
            <w:vAlign w:val="center"/>
          </w:tcPr>
          <w:p>
            <w:pPr>
              <w:spacing w:after="0"/>
            </w:pPr>
            <w:r>
              <w:rPr>
                <w:rFonts w:ascii="Aptos" w:hAnsi="Aptos"/>
                <w:b w:val="0"/>
                <w:i w:val="0"/>
                <w:color w:val="1F2933"/>
                <w:sz w:val="17"/>
              </w:rPr>
              <w:t>Loan term</w:t>
            </w:r>
          </w:p>
        </w:tc>
        <w:tc>
          <w:tcPr>
            <w:tcW w:type="dxa" w:w="6960"/>
            <w:tcMar>
              <w:top w:w="100" w:type="dxa"/>
              <w:start w:w="120" w:type="dxa"/>
              <w:bottom w:w="100" w:type="dxa"/>
              <w:end w:w="120" w:type="dxa"/>
            </w:tcMar>
            <w:vAlign w:val="center"/>
          </w:tcPr>
          <w:p>
            <w:pPr>
              <w:spacing w:after="0"/>
            </w:pPr>
            <w:r>
              <w:rPr>
                <w:rFonts w:ascii="Aptos" w:hAnsi="Aptos"/>
                <w:b w:val="0"/>
                <w:i w:val="0"/>
                <w:color w:val="1F2933"/>
                <w:sz w:val="17"/>
              </w:rPr>
              <w:t>The length of time allowed for repayment.</w:t>
            </w:r>
          </w:p>
        </w:tc>
      </w:tr>
      <w:tr>
        <w:tc>
          <w:tcPr>
            <w:tcW w:type="dxa" w:w="2400"/>
            <w:shd w:fill="F4F6F8"/>
            <w:tcMar>
              <w:top w:w="100" w:type="dxa"/>
              <w:start w:w="120" w:type="dxa"/>
              <w:bottom w:w="100" w:type="dxa"/>
              <w:end w:w="120" w:type="dxa"/>
            </w:tcMar>
            <w:vAlign w:val="center"/>
          </w:tcPr>
          <w:p>
            <w:pPr>
              <w:spacing w:after="0"/>
            </w:pPr>
            <w:r>
              <w:rPr>
                <w:rFonts w:ascii="Aptos" w:hAnsi="Aptos"/>
                <w:b w:val="0"/>
                <w:i w:val="0"/>
                <w:color w:val="1F2933"/>
                <w:sz w:val="17"/>
              </w:rPr>
              <w:t>Total repaid</w:t>
            </w:r>
          </w:p>
        </w:tc>
        <w:tc>
          <w:tcPr>
            <w:tcW w:type="dxa" w:w="6960"/>
            <w:shd w:fill="F4F6F8"/>
            <w:tcMar>
              <w:top w:w="100" w:type="dxa"/>
              <w:start w:w="120" w:type="dxa"/>
              <w:bottom w:w="100" w:type="dxa"/>
              <w:end w:w="120" w:type="dxa"/>
            </w:tcMar>
            <w:vAlign w:val="center"/>
          </w:tcPr>
          <w:p>
            <w:pPr>
              <w:spacing w:after="0"/>
            </w:pPr>
            <w:r>
              <w:rPr>
                <w:rFonts w:ascii="Aptos" w:hAnsi="Aptos"/>
                <w:b w:val="0"/>
                <w:i w:val="0"/>
                <w:color w:val="1F2933"/>
                <w:sz w:val="17"/>
              </w:rPr>
              <w:t>All payments added together.</w:t>
            </w:r>
          </w:p>
        </w:tc>
      </w:tr>
    </w:tbl>
    <w:tbl>
      <w:tblPr>
        <w:tblStyle w:val="TableGrid"/>
        <w:tblW w:type="dxa" w:w="9360"/>
        <w:tblLayout w:type="fixed"/>
        <w:tblLook w:firstColumn="1" w:firstRow="1" w:lastColumn="0" w:lastRow="0" w:noHBand="0" w:noVBand="1" w:val="04A0"/>
        <w:tblInd w:w="120" w:type="dxa"/>
      </w:tblPr>
      <w:tblGrid>
        <w:gridCol w:w="9360"/>
      </w:tblGrid>
      <w:tr>
        <w:trPr>
          <w:tblHeader w:val="true"/>
        </w:trPr>
        <w:tc>
          <w:tcPr>
            <w:tcW w:type="dxa" w:w="9360"/>
            <w:tcMar>
              <w:top w:w="100" w:type="dxa"/>
              <w:start w:w="120" w:type="dxa"/>
              <w:bottom w:w="100" w:type="dxa"/>
              <w:end w:w="120" w:type="dxa"/>
            </w:tcMar>
            <w:vAlign w:val="center"/>
            <w:shd w:fill="EAF2F8"/>
          </w:tcPr>
          <w:p>
            <w:pPr>
              <w:spacing w:after="0"/>
            </w:pPr>
            <w:r>
              <w:rPr>
                <w:rFonts w:ascii="Aptos" w:hAnsi="Aptos"/>
                <w:b/>
                <w:i w:val="0"/>
                <w:color w:val="163A63"/>
                <w:sz w:val="20"/>
              </w:rPr>
              <w:t xml:space="preserve">CLASSROOM MODEL  </w:t>
            </w:r>
            <w:r>
              <w:rPr>
                <w:rFonts w:ascii="Aptos" w:hAnsi="Aptos"/>
                <w:b w:val="0"/>
                <w:i w:val="0"/>
                <w:color w:val="1F2933"/>
                <w:sz w:val="20"/>
              </w:rPr>
              <w:t>These are simplified fictional offers. Use the disclosed dollar amounts and formulas in the packet; real lenders use contract-specific calculations.</w:t>
            </w:r>
          </w:p>
        </w:tc>
      </w:tr>
    </w:tbl>
    <w:p>
      <w:pPr>
        <w:spacing w:after="0"/>
      </w:pPr>
    </w:p>
    <w:p>
      <w:pPr>
        <w:spacing w:before="0" w:after="0" w:line="20" w:lineRule="exact"/>
      </w:pPr>
      <w:r>
        <w:rPr>
          <w:rFonts w:ascii="Aptos" w:hAnsi="Aptos"/>
          <w:b w:val="0"/>
          <w:i w:val="0"/>
          <w:color w:val="1F2933"/>
          <w:sz w:val="2"/>
        </w:rPr>
        <w:br w:type="page"/>
      </w:r>
    </w:p>
    <w:p>
      <w:pPr>
        <w:pStyle w:val="Heading1"/>
      </w:pPr>
      <w:r>
        <w:t>Part 1 - Read the Offers</w:t>
      </w:r>
    </w:p>
    <w:tbl>
      <w:tblPr>
        <w:tblStyle w:val="TableGrid"/>
        <w:tblW w:type="dxa" w:w="9360"/>
        <w:jc w:val="center"/>
        <w:tblLayout w:type="fixed"/>
        <w:tblLook w:firstColumn="1" w:firstRow="1" w:lastColumn="0" w:lastRow="0" w:noHBand="0" w:noVBand="1" w:val="04A0"/>
        <w:tblInd w:w="120" w:type="dxa"/>
      </w:tblPr>
      <w:tblGrid>
        <w:gridCol w:w="900"/>
        <w:gridCol w:w="1300"/>
        <w:gridCol w:w="1400"/>
        <w:gridCol w:w="1100"/>
        <w:gridCol w:w="1400"/>
        <w:gridCol w:w="1300"/>
        <w:gridCol w:w="1960"/>
      </w:tblGrid>
      <w:tr>
        <w:trPr>
          <w:tblHeader w:val="true"/>
        </w:trPr>
        <w:tc>
          <w:tcPr>
            <w:tcW w:type="dxa" w:w="900"/>
            <w:shd w:fill="163A63"/>
            <w:tcMar>
              <w:top w:w="100" w:type="dxa"/>
              <w:start w:w="120" w:type="dxa"/>
              <w:bottom w:w="100" w:type="dxa"/>
              <w:end w:w="120" w:type="dxa"/>
            </w:tcMar>
            <w:vAlign w:val="center"/>
          </w:tcPr>
          <w:p>
            <w:pPr>
              <w:spacing w:after="0"/>
            </w:pPr>
            <w:r>
              <w:rPr>
                <w:rFonts w:ascii="Aptos" w:hAnsi="Aptos"/>
                <w:b/>
                <w:i w:val="0"/>
                <w:color w:val="FFFFFF"/>
                <w:sz w:val="15"/>
              </w:rPr>
              <w:t>Offer</w:t>
            </w:r>
          </w:p>
        </w:tc>
        <w:tc>
          <w:tcPr>
            <w:tcW w:type="dxa" w:w="1300"/>
            <w:shd w:fill="163A63"/>
            <w:tcMar>
              <w:top w:w="100" w:type="dxa"/>
              <w:start w:w="120" w:type="dxa"/>
              <w:bottom w:w="100" w:type="dxa"/>
              <w:end w:w="120" w:type="dxa"/>
            </w:tcMar>
            <w:vAlign w:val="center"/>
          </w:tcPr>
          <w:p>
            <w:pPr>
              <w:spacing w:after="0"/>
            </w:pPr>
            <w:r>
              <w:rPr>
                <w:rFonts w:ascii="Aptos" w:hAnsi="Aptos"/>
                <w:b/>
                <w:i w:val="0"/>
                <w:color w:val="FFFFFF"/>
                <w:sz w:val="15"/>
              </w:rPr>
              <w:t>Amount</w:t>
            </w:r>
          </w:p>
        </w:tc>
        <w:tc>
          <w:tcPr>
            <w:tcW w:type="dxa" w:w="1400"/>
            <w:shd w:fill="163A63"/>
            <w:tcMar>
              <w:top w:w="100" w:type="dxa"/>
              <w:start w:w="120" w:type="dxa"/>
              <w:bottom w:w="100" w:type="dxa"/>
              <w:end w:w="120" w:type="dxa"/>
            </w:tcMar>
            <w:vAlign w:val="center"/>
          </w:tcPr>
          <w:p>
            <w:pPr>
              <w:spacing w:after="0"/>
            </w:pPr>
            <w:r>
              <w:rPr>
                <w:rFonts w:ascii="Aptos" w:hAnsi="Aptos"/>
                <w:b/>
                <w:i w:val="0"/>
                <w:color w:val="FFFFFF"/>
                <w:sz w:val="15"/>
              </w:rPr>
              <w:t>Interest rate</w:t>
            </w:r>
          </w:p>
        </w:tc>
        <w:tc>
          <w:tcPr>
            <w:tcW w:type="dxa" w:w="1100"/>
            <w:shd w:fill="163A63"/>
            <w:tcMar>
              <w:top w:w="100" w:type="dxa"/>
              <w:start w:w="120" w:type="dxa"/>
              <w:bottom w:w="100" w:type="dxa"/>
              <w:end w:w="120" w:type="dxa"/>
            </w:tcMar>
            <w:vAlign w:val="center"/>
          </w:tcPr>
          <w:p>
            <w:pPr>
              <w:spacing w:after="0"/>
            </w:pPr>
            <w:r>
              <w:rPr>
                <w:rFonts w:ascii="Aptos" w:hAnsi="Aptos"/>
                <w:b/>
                <w:i w:val="0"/>
                <w:color w:val="FFFFFF"/>
                <w:sz w:val="15"/>
              </w:rPr>
              <w:t>APR</w:t>
            </w:r>
          </w:p>
        </w:tc>
        <w:tc>
          <w:tcPr>
            <w:tcW w:type="dxa" w:w="1400"/>
            <w:shd w:fill="163A63"/>
            <w:tcMar>
              <w:top w:w="100" w:type="dxa"/>
              <w:start w:w="120" w:type="dxa"/>
              <w:bottom w:w="100" w:type="dxa"/>
              <w:end w:w="120" w:type="dxa"/>
            </w:tcMar>
            <w:vAlign w:val="center"/>
          </w:tcPr>
          <w:p>
            <w:pPr>
              <w:spacing w:after="0"/>
            </w:pPr>
            <w:r>
              <w:rPr>
                <w:rFonts w:ascii="Aptos" w:hAnsi="Aptos"/>
                <w:b/>
                <w:i w:val="0"/>
                <w:color w:val="FFFFFF"/>
                <w:sz w:val="15"/>
              </w:rPr>
              <w:t>Upfront fee</w:t>
            </w:r>
          </w:p>
        </w:tc>
        <w:tc>
          <w:tcPr>
            <w:tcW w:type="dxa" w:w="1300"/>
            <w:shd w:fill="163A63"/>
            <w:tcMar>
              <w:top w:w="100" w:type="dxa"/>
              <w:start w:w="120" w:type="dxa"/>
              <w:bottom w:w="100" w:type="dxa"/>
              <w:end w:w="120" w:type="dxa"/>
            </w:tcMar>
            <w:vAlign w:val="center"/>
          </w:tcPr>
          <w:p>
            <w:pPr>
              <w:spacing w:after="0"/>
            </w:pPr>
            <w:r>
              <w:rPr>
                <w:rFonts w:ascii="Aptos" w:hAnsi="Aptos"/>
                <w:b/>
                <w:i w:val="0"/>
                <w:color w:val="FFFFFF"/>
                <w:sz w:val="15"/>
              </w:rPr>
              <w:t>Term</w:t>
            </w:r>
          </w:p>
        </w:tc>
        <w:tc>
          <w:tcPr>
            <w:tcW w:type="dxa" w:w="1960"/>
            <w:shd w:fill="163A63"/>
            <w:tcMar>
              <w:top w:w="100" w:type="dxa"/>
              <w:start w:w="120" w:type="dxa"/>
              <w:bottom w:w="100" w:type="dxa"/>
              <w:end w:w="120" w:type="dxa"/>
            </w:tcMar>
            <w:vAlign w:val="center"/>
          </w:tcPr>
          <w:p>
            <w:pPr>
              <w:spacing w:after="0"/>
            </w:pPr>
            <w:r>
              <w:rPr>
                <w:rFonts w:ascii="Aptos" w:hAnsi="Aptos"/>
                <w:b/>
                <w:i w:val="0"/>
                <w:color w:val="FFFFFF"/>
                <w:sz w:val="15"/>
              </w:rPr>
              <w:t>Monthly payment</w:t>
            </w:r>
          </w:p>
        </w:tc>
      </w:tr>
      <w:tr>
        <w:tc>
          <w:tcPr>
            <w:tcW w:type="dxa" w:w="900"/>
            <w:tcMar>
              <w:top w:w="100" w:type="dxa"/>
              <w:start w:w="120" w:type="dxa"/>
              <w:bottom w:w="100" w:type="dxa"/>
              <w:end w:w="120" w:type="dxa"/>
            </w:tcMar>
            <w:vAlign w:val="center"/>
          </w:tcPr>
          <w:p>
            <w:pPr>
              <w:spacing w:after="0"/>
            </w:pPr>
            <w:r>
              <w:rPr>
                <w:rFonts w:ascii="Aptos" w:hAnsi="Aptos"/>
                <w:b w:val="0"/>
                <w:i w:val="0"/>
                <w:color w:val="1F2933"/>
                <w:sz w:val="15"/>
              </w:rPr>
              <w:t>A</w:t>
            </w:r>
          </w:p>
        </w:tc>
        <w:tc>
          <w:tcPr>
            <w:tcW w:type="dxa" w:w="1300"/>
            <w:tcMar>
              <w:top w:w="100" w:type="dxa"/>
              <w:start w:w="120" w:type="dxa"/>
              <w:bottom w:w="100" w:type="dxa"/>
              <w:end w:w="120" w:type="dxa"/>
            </w:tcMar>
            <w:vAlign w:val="center"/>
          </w:tcPr>
          <w:p>
            <w:pPr>
              <w:spacing w:after="0"/>
            </w:pPr>
            <w:r>
              <w:rPr>
                <w:rFonts w:ascii="Aptos" w:hAnsi="Aptos"/>
                <w:b w:val="0"/>
                <w:i w:val="0"/>
                <w:color w:val="1F2933"/>
                <w:sz w:val="15"/>
              </w:rPr>
              <w:t>$3,000</w:t>
            </w:r>
          </w:p>
        </w:tc>
        <w:tc>
          <w:tcPr>
            <w:tcW w:type="dxa" w:w="1400"/>
            <w:tcMar>
              <w:top w:w="100" w:type="dxa"/>
              <w:start w:w="120" w:type="dxa"/>
              <w:bottom w:w="100" w:type="dxa"/>
              <w:end w:w="120" w:type="dxa"/>
            </w:tcMar>
            <w:vAlign w:val="center"/>
          </w:tcPr>
          <w:p>
            <w:pPr>
              <w:spacing w:after="0"/>
            </w:pPr>
            <w:r>
              <w:rPr>
                <w:rFonts w:ascii="Aptos" w:hAnsi="Aptos"/>
                <w:b w:val="0"/>
                <w:i w:val="0"/>
                <w:color w:val="1F2933"/>
                <w:sz w:val="15"/>
              </w:rPr>
              <w:t>12.0%</w:t>
            </w:r>
          </w:p>
        </w:tc>
        <w:tc>
          <w:tcPr>
            <w:tcW w:type="dxa" w:w="1100"/>
            <w:tcMar>
              <w:top w:w="100" w:type="dxa"/>
              <w:start w:w="120" w:type="dxa"/>
              <w:bottom w:w="100" w:type="dxa"/>
              <w:end w:w="120" w:type="dxa"/>
            </w:tcMar>
            <w:vAlign w:val="center"/>
          </w:tcPr>
          <w:p>
            <w:pPr>
              <w:spacing w:after="0"/>
            </w:pPr>
            <w:r>
              <w:rPr>
                <w:rFonts w:ascii="Aptos" w:hAnsi="Aptos"/>
                <w:b w:val="0"/>
                <w:i w:val="0"/>
                <w:color w:val="1F2933"/>
                <w:sz w:val="15"/>
              </w:rPr>
              <w:t>12.0%</w:t>
            </w:r>
          </w:p>
        </w:tc>
        <w:tc>
          <w:tcPr>
            <w:tcW w:type="dxa" w:w="1400"/>
            <w:tcMar>
              <w:top w:w="100" w:type="dxa"/>
              <w:start w:w="120" w:type="dxa"/>
              <w:bottom w:w="100" w:type="dxa"/>
              <w:end w:w="120" w:type="dxa"/>
            </w:tcMar>
            <w:vAlign w:val="center"/>
          </w:tcPr>
          <w:p>
            <w:pPr>
              <w:spacing w:after="0"/>
            </w:pPr>
            <w:r>
              <w:rPr>
                <w:rFonts w:ascii="Aptos" w:hAnsi="Aptos"/>
                <w:b w:val="0"/>
                <w:i w:val="0"/>
                <w:color w:val="1F2933"/>
                <w:sz w:val="15"/>
              </w:rPr>
              <w:t>$0</w:t>
            </w:r>
          </w:p>
        </w:tc>
        <w:tc>
          <w:tcPr>
            <w:tcW w:type="dxa" w:w="1300"/>
            <w:tcMar>
              <w:top w:w="100" w:type="dxa"/>
              <w:start w:w="120" w:type="dxa"/>
              <w:bottom w:w="100" w:type="dxa"/>
              <w:end w:w="120" w:type="dxa"/>
            </w:tcMar>
            <w:vAlign w:val="center"/>
          </w:tcPr>
          <w:p>
            <w:pPr>
              <w:spacing w:after="0"/>
            </w:pPr>
            <w:r>
              <w:rPr>
                <w:rFonts w:ascii="Aptos" w:hAnsi="Aptos"/>
                <w:b w:val="0"/>
                <w:i w:val="0"/>
                <w:color w:val="1F2933"/>
                <w:sz w:val="15"/>
              </w:rPr>
              <w:t>24 months</w:t>
            </w:r>
          </w:p>
        </w:tc>
        <w:tc>
          <w:tcPr>
            <w:tcW w:type="dxa" w:w="1960"/>
            <w:tcMar>
              <w:top w:w="100" w:type="dxa"/>
              <w:start w:w="120" w:type="dxa"/>
              <w:bottom w:w="100" w:type="dxa"/>
              <w:end w:w="120" w:type="dxa"/>
            </w:tcMar>
            <w:vAlign w:val="center"/>
          </w:tcPr>
          <w:p>
            <w:pPr>
              <w:spacing w:after="0"/>
            </w:pPr>
            <w:r>
              <w:rPr>
                <w:rFonts w:ascii="Aptos" w:hAnsi="Aptos"/>
                <w:b w:val="0"/>
                <w:i w:val="0"/>
                <w:color w:val="1F2933"/>
                <w:sz w:val="15"/>
              </w:rPr>
              <w:t>$155.00</w:t>
            </w:r>
          </w:p>
        </w:tc>
      </w:tr>
      <w:tr>
        <w:tc>
          <w:tcPr>
            <w:tcW w:type="dxa" w:w="900"/>
            <w:shd w:fill="F4F6F8"/>
            <w:tcMar>
              <w:top w:w="100" w:type="dxa"/>
              <w:start w:w="120" w:type="dxa"/>
              <w:bottom w:w="100" w:type="dxa"/>
              <w:end w:w="120" w:type="dxa"/>
            </w:tcMar>
            <w:vAlign w:val="center"/>
          </w:tcPr>
          <w:p>
            <w:pPr>
              <w:spacing w:after="0"/>
            </w:pPr>
            <w:r>
              <w:rPr>
                <w:rFonts w:ascii="Aptos" w:hAnsi="Aptos"/>
                <w:b w:val="0"/>
                <w:i w:val="0"/>
                <w:color w:val="1F2933"/>
                <w:sz w:val="15"/>
              </w:rPr>
              <w:t>B</w:t>
            </w:r>
          </w:p>
        </w:tc>
        <w:tc>
          <w:tcPr>
            <w:tcW w:type="dxa" w:w="1300"/>
            <w:shd w:fill="F4F6F8"/>
            <w:tcMar>
              <w:top w:w="100" w:type="dxa"/>
              <w:start w:w="120" w:type="dxa"/>
              <w:bottom w:w="100" w:type="dxa"/>
              <w:end w:w="120" w:type="dxa"/>
            </w:tcMar>
            <w:vAlign w:val="center"/>
          </w:tcPr>
          <w:p>
            <w:pPr>
              <w:spacing w:after="0"/>
            </w:pPr>
            <w:r>
              <w:rPr>
                <w:rFonts w:ascii="Aptos" w:hAnsi="Aptos"/>
                <w:b w:val="0"/>
                <w:i w:val="0"/>
                <w:color w:val="1F2933"/>
                <w:sz w:val="15"/>
              </w:rPr>
              <w:t>$3,000</w:t>
            </w:r>
          </w:p>
        </w:tc>
        <w:tc>
          <w:tcPr>
            <w:tcW w:type="dxa" w:w="1400"/>
            <w:shd w:fill="F4F6F8"/>
            <w:tcMar>
              <w:top w:w="100" w:type="dxa"/>
              <w:start w:w="120" w:type="dxa"/>
              <w:bottom w:w="100" w:type="dxa"/>
              <w:end w:w="120" w:type="dxa"/>
            </w:tcMar>
            <w:vAlign w:val="center"/>
          </w:tcPr>
          <w:p>
            <w:pPr>
              <w:spacing w:after="0"/>
            </w:pPr>
            <w:r>
              <w:rPr>
                <w:rFonts w:ascii="Aptos" w:hAnsi="Aptos"/>
                <w:b w:val="0"/>
                <w:i w:val="0"/>
                <w:color w:val="1F2933"/>
                <w:sz w:val="15"/>
              </w:rPr>
              <w:t>9.0%</w:t>
            </w:r>
          </w:p>
        </w:tc>
        <w:tc>
          <w:tcPr>
            <w:tcW w:type="dxa" w:w="1100"/>
            <w:shd w:fill="F4F6F8"/>
            <w:tcMar>
              <w:top w:w="100" w:type="dxa"/>
              <w:start w:w="120" w:type="dxa"/>
              <w:bottom w:w="100" w:type="dxa"/>
              <w:end w:w="120" w:type="dxa"/>
            </w:tcMar>
            <w:vAlign w:val="center"/>
          </w:tcPr>
          <w:p>
            <w:pPr>
              <w:spacing w:after="0"/>
            </w:pPr>
            <w:r>
              <w:rPr>
                <w:rFonts w:ascii="Aptos" w:hAnsi="Aptos"/>
                <w:b w:val="0"/>
                <w:i w:val="0"/>
                <w:color w:val="1F2933"/>
                <w:sz w:val="15"/>
              </w:rPr>
              <w:t>13.2%</w:t>
            </w:r>
          </w:p>
        </w:tc>
        <w:tc>
          <w:tcPr>
            <w:tcW w:type="dxa" w:w="1400"/>
            <w:shd w:fill="F4F6F8"/>
            <w:tcMar>
              <w:top w:w="100" w:type="dxa"/>
              <w:start w:w="120" w:type="dxa"/>
              <w:bottom w:w="100" w:type="dxa"/>
              <w:end w:w="120" w:type="dxa"/>
            </w:tcMar>
            <w:vAlign w:val="center"/>
          </w:tcPr>
          <w:p>
            <w:pPr>
              <w:spacing w:after="0"/>
            </w:pPr>
            <w:r>
              <w:rPr>
                <w:rFonts w:ascii="Aptos" w:hAnsi="Aptos"/>
                <w:b w:val="0"/>
                <w:i w:val="0"/>
                <w:color w:val="1F2933"/>
                <w:sz w:val="15"/>
              </w:rPr>
              <w:t>$150</w:t>
            </w:r>
          </w:p>
        </w:tc>
        <w:tc>
          <w:tcPr>
            <w:tcW w:type="dxa" w:w="1300"/>
            <w:shd w:fill="F4F6F8"/>
            <w:tcMar>
              <w:top w:w="100" w:type="dxa"/>
              <w:start w:w="120" w:type="dxa"/>
              <w:bottom w:w="100" w:type="dxa"/>
              <w:end w:w="120" w:type="dxa"/>
            </w:tcMar>
            <w:vAlign w:val="center"/>
          </w:tcPr>
          <w:p>
            <w:pPr>
              <w:spacing w:after="0"/>
            </w:pPr>
            <w:r>
              <w:rPr>
                <w:rFonts w:ascii="Aptos" w:hAnsi="Aptos"/>
                <w:b w:val="0"/>
                <w:i w:val="0"/>
                <w:color w:val="1F2933"/>
                <w:sz w:val="15"/>
              </w:rPr>
              <w:t>24 months</w:t>
            </w:r>
          </w:p>
        </w:tc>
        <w:tc>
          <w:tcPr>
            <w:tcW w:type="dxa" w:w="1960"/>
            <w:shd w:fill="F4F6F8"/>
            <w:tcMar>
              <w:top w:w="100" w:type="dxa"/>
              <w:start w:w="120" w:type="dxa"/>
              <w:bottom w:w="100" w:type="dxa"/>
              <w:end w:w="120" w:type="dxa"/>
            </w:tcMar>
            <w:vAlign w:val="center"/>
          </w:tcPr>
          <w:p>
            <w:pPr>
              <w:spacing w:after="0"/>
            </w:pPr>
            <w:r>
              <w:rPr>
                <w:rFonts w:ascii="Aptos" w:hAnsi="Aptos"/>
                <w:b w:val="0"/>
                <w:i w:val="0"/>
                <w:color w:val="1F2933"/>
                <w:sz w:val="15"/>
              </w:rPr>
              <w:t>$153.75</w:t>
            </w:r>
          </w:p>
        </w:tc>
      </w:tr>
      <w:tr>
        <w:tc>
          <w:tcPr>
            <w:tcW w:type="dxa" w:w="900"/>
            <w:tcMar>
              <w:top w:w="100" w:type="dxa"/>
              <w:start w:w="120" w:type="dxa"/>
              <w:bottom w:w="100" w:type="dxa"/>
              <w:end w:w="120" w:type="dxa"/>
            </w:tcMar>
            <w:vAlign w:val="center"/>
          </w:tcPr>
          <w:p>
            <w:pPr>
              <w:spacing w:after="0"/>
            </w:pPr>
            <w:r>
              <w:rPr>
                <w:rFonts w:ascii="Aptos" w:hAnsi="Aptos"/>
                <w:b w:val="0"/>
                <w:i w:val="0"/>
                <w:color w:val="1F2933"/>
                <w:sz w:val="15"/>
              </w:rPr>
              <w:t>C</w:t>
            </w:r>
          </w:p>
        </w:tc>
        <w:tc>
          <w:tcPr>
            <w:tcW w:type="dxa" w:w="1300"/>
            <w:tcMar>
              <w:top w:w="100" w:type="dxa"/>
              <w:start w:w="120" w:type="dxa"/>
              <w:bottom w:w="100" w:type="dxa"/>
              <w:end w:w="120" w:type="dxa"/>
            </w:tcMar>
            <w:vAlign w:val="center"/>
          </w:tcPr>
          <w:p>
            <w:pPr>
              <w:spacing w:after="0"/>
            </w:pPr>
            <w:r>
              <w:rPr>
                <w:rFonts w:ascii="Aptos" w:hAnsi="Aptos"/>
                <w:b w:val="0"/>
                <w:i w:val="0"/>
                <w:color w:val="1F2933"/>
                <w:sz w:val="15"/>
              </w:rPr>
              <w:t>$3,000</w:t>
            </w:r>
          </w:p>
        </w:tc>
        <w:tc>
          <w:tcPr>
            <w:tcW w:type="dxa" w:w="1400"/>
            <w:tcMar>
              <w:top w:w="100" w:type="dxa"/>
              <w:start w:w="120" w:type="dxa"/>
              <w:bottom w:w="100" w:type="dxa"/>
              <w:end w:w="120" w:type="dxa"/>
            </w:tcMar>
            <w:vAlign w:val="center"/>
          </w:tcPr>
          <w:p>
            <w:pPr>
              <w:spacing w:after="0"/>
            </w:pPr>
            <w:r>
              <w:rPr>
                <w:rFonts w:ascii="Aptos" w:hAnsi="Aptos"/>
                <w:b w:val="0"/>
                <w:i w:val="0"/>
                <w:color w:val="1F2933"/>
                <w:sz w:val="15"/>
              </w:rPr>
              <w:t>11.0%</w:t>
            </w:r>
          </w:p>
        </w:tc>
        <w:tc>
          <w:tcPr>
            <w:tcW w:type="dxa" w:w="1100"/>
            <w:tcMar>
              <w:top w:w="100" w:type="dxa"/>
              <w:start w:w="120" w:type="dxa"/>
              <w:bottom w:w="100" w:type="dxa"/>
              <w:end w:w="120" w:type="dxa"/>
            </w:tcMar>
            <w:vAlign w:val="center"/>
          </w:tcPr>
          <w:p>
            <w:pPr>
              <w:spacing w:after="0"/>
            </w:pPr>
            <w:r>
              <w:rPr>
                <w:rFonts w:ascii="Aptos" w:hAnsi="Aptos"/>
                <w:b w:val="0"/>
                <w:i w:val="0"/>
                <w:color w:val="1F2933"/>
                <w:sz w:val="15"/>
              </w:rPr>
              <w:t>11.0%</w:t>
            </w:r>
          </w:p>
        </w:tc>
        <w:tc>
          <w:tcPr>
            <w:tcW w:type="dxa" w:w="1400"/>
            <w:tcMar>
              <w:top w:w="100" w:type="dxa"/>
              <w:start w:w="120" w:type="dxa"/>
              <w:bottom w:w="100" w:type="dxa"/>
              <w:end w:w="120" w:type="dxa"/>
            </w:tcMar>
            <w:vAlign w:val="center"/>
          </w:tcPr>
          <w:p>
            <w:pPr>
              <w:spacing w:after="0"/>
            </w:pPr>
            <w:r>
              <w:rPr>
                <w:rFonts w:ascii="Aptos" w:hAnsi="Aptos"/>
                <w:b w:val="0"/>
                <w:i w:val="0"/>
                <w:color w:val="1F2933"/>
                <w:sz w:val="15"/>
              </w:rPr>
              <w:t>$0</w:t>
            </w:r>
          </w:p>
        </w:tc>
        <w:tc>
          <w:tcPr>
            <w:tcW w:type="dxa" w:w="1300"/>
            <w:tcMar>
              <w:top w:w="100" w:type="dxa"/>
              <w:start w:w="120" w:type="dxa"/>
              <w:bottom w:w="100" w:type="dxa"/>
              <w:end w:w="120" w:type="dxa"/>
            </w:tcMar>
            <w:vAlign w:val="center"/>
          </w:tcPr>
          <w:p>
            <w:pPr>
              <w:spacing w:after="0"/>
            </w:pPr>
            <w:r>
              <w:rPr>
                <w:rFonts w:ascii="Aptos" w:hAnsi="Aptos"/>
                <w:b w:val="0"/>
                <w:i w:val="0"/>
                <w:color w:val="1F2933"/>
                <w:sz w:val="15"/>
              </w:rPr>
              <w:t>36 months</w:t>
            </w:r>
          </w:p>
        </w:tc>
        <w:tc>
          <w:tcPr>
            <w:tcW w:type="dxa" w:w="1960"/>
            <w:tcMar>
              <w:top w:w="100" w:type="dxa"/>
              <w:start w:w="120" w:type="dxa"/>
              <w:bottom w:w="100" w:type="dxa"/>
              <w:end w:w="120" w:type="dxa"/>
            </w:tcMar>
            <w:vAlign w:val="center"/>
          </w:tcPr>
          <w:p>
            <w:pPr>
              <w:spacing w:after="0"/>
            </w:pPr>
            <w:r>
              <w:rPr>
                <w:rFonts w:ascii="Aptos" w:hAnsi="Aptos"/>
                <w:b w:val="0"/>
                <w:i w:val="0"/>
                <w:color w:val="1F2933"/>
                <w:sz w:val="15"/>
              </w:rPr>
              <w:t>$110.83</w:t>
            </w:r>
          </w:p>
        </w:tc>
      </w:tr>
    </w:tbl>
    <w:p>
      <w:r>
        <w:t>Which offer has the lowest rate? Lowest APR? Lowest monthly payment? Explain why those answers are not all the same.</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2 - Calculate the Total Cost</w:t>
      </w:r>
    </w:p>
    <w:p>
      <w:r>
        <w:t>Use monthly payment x number of payments = total repaid. Then use total repaid - $3,000 = dollar cost of borrowing. The listed monthly payments already reflect the fee structure for this fictional activity.</w:t>
      </w:r>
    </w:p>
    <w:tbl>
      <w:tblPr>
        <w:tblStyle w:val="TableGrid"/>
        <w:tblW w:type="dxa" w:w="9360"/>
        <w:jc w:val="center"/>
        <w:tblLayout w:type="fixed"/>
        <w:tblLook w:firstColumn="1" w:firstRow="1" w:lastColumn="0" w:lastRow="0" w:noHBand="0" w:noVBand="1" w:val="04A0"/>
        <w:tblInd w:w="120" w:type="dxa"/>
      </w:tblPr>
      <w:tblGrid>
        <w:gridCol w:w="1100"/>
        <w:gridCol w:w="1800"/>
        <w:gridCol w:w="1800"/>
        <w:gridCol w:w="1700"/>
        <w:gridCol w:w="2000"/>
        <w:gridCol w:w="960"/>
      </w:tblGrid>
      <w:tr>
        <w:trPr>
          <w:tblHeader w:val="true"/>
        </w:trPr>
        <w:tc>
          <w:tcPr>
            <w:tcW w:type="dxa" w:w="1100"/>
            <w:shd w:fill="163A63"/>
            <w:tcMar>
              <w:top w:w="100" w:type="dxa"/>
              <w:start w:w="120" w:type="dxa"/>
              <w:bottom w:w="100" w:type="dxa"/>
              <w:end w:w="120" w:type="dxa"/>
            </w:tcMar>
            <w:vAlign w:val="center"/>
          </w:tcPr>
          <w:p>
            <w:pPr>
              <w:spacing w:after="0"/>
            </w:pPr>
            <w:r>
              <w:rPr>
                <w:rFonts w:ascii="Aptos" w:hAnsi="Aptos"/>
                <w:b/>
                <w:i w:val="0"/>
                <w:color w:val="FFFFFF"/>
                <w:sz w:val="16"/>
              </w:rPr>
              <w:t>Offer</w:t>
            </w:r>
          </w:p>
        </w:tc>
        <w:tc>
          <w:tcPr>
            <w:tcW w:type="dxa" w:w="1800"/>
            <w:shd w:fill="163A63"/>
            <w:tcMar>
              <w:top w:w="100" w:type="dxa"/>
              <w:start w:w="120" w:type="dxa"/>
              <w:bottom w:w="100" w:type="dxa"/>
              <w:end w:w="120" w:type="dxa"/>
            </w:tcMar>
            <w:vAlign w:val="center"/>
          </w:tcPr>
          <w:p>
            <w:pPr>
              <w:spacing w:after="0"/>
            </w:pPr>
            <w:r>
              <w:rPr>
                <w:rFonts w:ascii="Aptos" w:hAnsi="Aptos"/>
                <w:b/>
                <w:i w:val="0"/>
                <w:color w:val="FFFFFF"/>
                <w:sz w:val="16"/>
              </w:rPr>
              <w:t>Monthly payment</w:t>
            </w:r>
          </w:p>
        </w:tc>
        <w:tc>
          <w:tcPr>
            <w:tcW w:type="dxa" w:w="1800"/>
            <w:shd w:fill="163A63"/>
            <w:tcMar>
              <w:top w:w="100" w:type="dxa"/>
              <w:start w:w="120" w:type="dxa"/>
              <w:bottom w:w="100" w:type="dxa"/>
              <w:end w:w="120" w:type="dxa"/>
            </w:tcMar>
            <w:vAlign w:val="center"/>
          </w:tcPr>
          <w:p>
            <w:pPr>
              <w:spacing w:after="0"/>
            </w:pPr>
            <w:r>
              <w:rPr>
                <w:rFonts w:ascii="Aptos" w:hAnsi="Aptos"/>
                <w:b/>
                <w:i w:val="0"/>
                <w:color w:val="FFFFFF"/>
                <w:sz w:val="16"/>
              </w:rPr>
              <w:t>Number of payments</w:t>
            </w:r>
          </w:p>
        </w:tc>
        <w:tc>
          <w:tcPr>
            <w:tcW w:type="dxa" w:w="1700"/>
            <w:shd w:fill="163A63"/>
            <w:tcMar>
              <w:top w:w="100" w:type="dxa"/>
              <w:start w:w="120" w:type="dxa"/>
              <w:bottom w:w="100" w:type="dxa"/>
              <w:end w:w="120" w:type="dxa"/>
            </w:tcMar>
            <w:vAlign w:val="center"/>
          </w:tcPr>
          <w:p>
            <w:pPr>
              <w:spacing w:after="0"/>
            </w:pPr>
            <w:r>
              <w:rPr>
                <w:rFonts w:ascii="Aptos" w:hAnsi="Aptos"/>
                <w:b/>
                <w:i w:val="0"/>
                <w:color w:val="FFFFFF"/>
                <w:sz w:val="16"/>
              </w:rPr>
              <w:t>Total repaid</w:t>
            </w:r>
          </w:p>
        </w:tc>
        <w:tc>
          <w:tcPr>
            <w:tcW w:type="dxa" w:w="2000"/>
            <w:shd w:fill="163A63"/>
            <w:tcMar>
              <w:top w:w="100" w:type="dxa"/>
              <w:start w:w="120" w:type="dxa"/>
              <w:bottom w:w="100" w:type="dxa"/>
              <w:end w:w="120" w:type="dxa"/>
            </w:tcMar>
            <w:vAlign w:val="center"/>
          </w:tcPr>
          <w:p>
            <w:pPr>
              <w:spacing w:after="0"/>
            </w:pPr>
            <w:r>
              <w:rPr>
                <w:rFonts w:ascii="Aptos" w:hAnsi="Aptos"/>
                <w:b/>
                <w:i w:val="0"/>
                <w:color w:val="FFFFFF"/>
                <w:sz w:val="16"/>
              </w:rPr>
              <w:t>Dollar cost above $3,000</w:t>
            </w:r>
          </w:p>
        </w:tc>
        <w:tc>
          <w:tcPr>
            <w:tcW w:type="dxa" w:w="960"/>
            <w:shd w:fill="163A63"/>
            <w:tcMar>
              <w:top w:w="100" w:type="dxa"/>
              <w:start w:w="120" w:type="dxa"/>
              <w:bottom w:w="100" w:type="dxa"/>
              <w:end w:w="120" w:type="dxa"/>
            </w:tcMar>
            <w:vAlign w:val="center"/>
          </w:tcPr>
          <w:p>
            <w:pPr>
              <w:spacing w:after="0"/>
            </w:pPr>
            <w:r>
              <w:rPr>
                <w:rFonts w:ascii="Aptos" w:hAnsi="Aptos"/>
                <w:b/>
                <w:i w:val="0"/>
                <w:color w:val="FFFFFF"/>
                <w:sz w:val="16"/>
              </w:rPr>
              <w:t>Rank by total cost</w:t>
            </w:r>
          </w:p>
        </w:tc>
      </w:tr>
      <w:tr>
        <w:tc>
          <w:tcPr>
            <w:tcW w:type="dxa" w:w="1100"/>
            <w:tcMar>
              <w:top w:w="100" w:type="dxa"/>
              <w:start w:w="120" w:type="dxa"/>
              <w:bottom w:w="100" w:type="dxa"/>
              <w:end w:w="120" w:type="dxa"/>
            </w:tcMar>
            <w:vAlign w:val="center"/>
          </w:tcPr>
          <w:p>
            <w:pPr>
              <w:spacing w:after="0"/>
            </w:pPr>
            <w:r>
              <w:rPr>
                <w:rFonts w:ascii="Aptos" w:hAnsi="Aptos"/>
                <w:b w:val="0"/>
                <w:i w:val="0"/>
                <w:color w:val="1F2933"/>
                <w:sz w:val="16"/>
              </w:rPr>
              <w:t>A</w:t>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t>$155.00</w:t>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t>24</w:t>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0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9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100"/>
            <w:shd w:fill="F4F6F8"/>
            <w:tcMar>
              <w:top w:w="100" w:type="dxa"/>
              <w:start w:w="120" w:type="dxa"/>
              <w:bottom w:w="100" w:type="dxa"/>
              <w:end w:w="120" w:type="dxa"/>
            </w:tcMar>
            <w:vAlign w:val="center"/>
          </w:tcPr>
          <w:p>
            <w:pPr>
              <w:spacing w:after="0"/>
            </w:pPr>
            <w:r>
              <w:rPr>
                <w:rFonts w:ascii="Aptos" w:hAnsi="Aptos"/>
                <w:b w:val="0"/>
                <w:i w:val="0"/>
                <w:color w:val="1F2933"/>
                <w:sz w:val="16"/>
              </w:rPr>
              <w:t>B</w:t>
            </w:r>
          </w:p>
        </w:tc>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t>$153.75</w:t>
            </w:r>
          </w:p>
        </w:tc>
        <w:tc>
          <w:tcPr>
            <w:tcW w:type="dxa" w:w="1800"/>
            <w:shd w:fill="F4F6F8"/>
            <w:tcMar>
              <w:top w:w="100" w:type="dxa"/>
              <w:start w:w="120" w:type="dxa"/>
              <w:bottom w:w="100" w:type="dxa"/>
              <w:end w:w="120" w:type="dxa"/>
            </w:tcMar>
            <w:vAlign w:val="center"/>
          </w:tcPr>
          <w:p>
            <w:pPr>
              <w:spacing w:after="0"/>
            </w:pPr>
            <w:r>
              <w:rPr>
                <w:rFonts w:ascii="Aptos" w:hAnsi="Aptos"/>
                <w:b w:val="0"/>
                <w:i w:val="0"/>
                <w:color w:val="1F2933"/>
                <w:sz w:val="16"/>
              </w:rPr>
              <w:t>24</w:t>
            </w:r>
          </w:p>
        </w:tc>
        <w:tc>
          <w:tcPr>
            <w:tcW w:type="dxa" w:w="17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0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9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100"/>
            <w:tcMar>
              <w:top w:w="100" w:type="dxa"/>
              <w:start w:w="120" w:type="dxa"/>
              <w:bottom w:w="100" w:type="dxa"/>
              <w:end w:w="120" w:type="dxa"/>
            </w:tcMar>
            <w:vAlign w:val="center"/>
          </w:tcPr>
          <w:p>
            <w:pPr>
              <w:spacing w:after="0"/>
            </w:pPr>
            <w:r>
              <w:rPr>
                <w:rFonts w:ascii="Aptos" w:hAnsi="Aptos"/>
                <w:b w:val="0"/>
                <w:i w:val="0"/>
                <w:color w:val="1F2933"/>
                <w:sz w:val="16"/>
              </w:rPr>
              <w:t>C</w:t>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t>$110.83</w:t>
            </w:r>
          </w:p>
        </w:tc>
        <w:tc>
          <w:tcPr>
            <w:tcW w:type="dxa" w:w="1800"/>
            <w:tcMar>
              <w:top w:w="100" w:type="dxa"/>
              <w:start w:w="120" w:type="dxa"/>
              <w:bottom w:w="100" w:type="dxa"/>
              <w:end w:w="120" w:type="dxa"/>
            </w:tcMar>
            <w:vAlign w:val="center"/>
          </w:tcPr>
          <w:p>
            <w:pPr>
              <w:spacing w:after="0"/>
            </w:pPr>
            <w:r>
              <w:rPr>
                <w:rFonts w:ascii="Aptos" w:hAnsi="Aptos"/>
                <w:b w:val="0"/>
                <w:i w:val="0"/>
                <w:color w:val="1F2933"/>
                <w:sz w:val="16"/>
              </w:rPr>
              <w:t>36</w:t>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0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960"/>
            <w:tcMar>
              <w:top w:w="100" w:type="dxa"/>
              <w:start w:w="120" w:type="dxa"/>
              <w:bottom w:w="100" w:type="dxa"/>
              <w:end w:w="120" w:type="dxa"/>
            </w:tcMar>
            <w:vAlign w:val="center"/>
          </w:tcPr>
          <w:p>
            <w:pPr>
              <w:spacing w:after="0"/>
            </w:pPr>
            <w:r>
              <w:rPr>
                <w:rFonts w:ascii="Aptos" w:hAnsi="Aptos"/>
                <w:b w:val="0"/>
                <w:i w:val="0"/>
                <w:color w:val="1F2933"/>
                <w:sz w:val="16"/>
              </w:rPr>
            </w:r>
          </w:p>
        </w:tc>
      </w:tr>
    </w:tbl>
    <w:p>
      <w:r>
        <w:t>Show all three multiplication calculations. Round to the nearest cent.</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3 - Test the Budget Fit</w:t>
      </w:r>
    </w:p>
    <w:p>
      <w:r>
        <w:t>Kai can safely pay up to $160 per month and wants the debt finished as soon as reasonably possible. Kai also expects one month with only $125 available for a loan payment.</w:t>
      </w:r>
    </w:p>
    <w:tbl>
      <w:tblPr>
        <w:tblStyle w:val="TableGrid"/>
        <w:tblW w:type="dxa" w:w="9360"/>
        <w:jc w:val="center"/>
        <w:tblLayout w:type="fixed"/>
        <w:tblLook w:firstColumn="1" w:firstRow="1" w:lastColumn="0" w:lastRow="0" w:noHBand="0" w:noVBand="1" w:val="04A0"/>
        <w:tblInd w:w="120" w:type="dxa"/>
      </w:tblPr>
      <w:tblGrid>
        <w:gridCol w:w="1100"/>
        <w:gridCol w:w="1900"/>
        <w:gridCol w:w="1500"/>
        <w:gridCol w:w="1700"/>
        <w:gridCol w:w="1900"/>
        <w:gridCol w:w="1260"/>
      </w:tblGrid>
      <w:tr>
        <w:trPr>
          <w:tblHeader w:val="true"/>
        </w:trPr>
        <w:tc>
          <w:tcPr>
            <w:tcW w:type="dxa" w:w="1100"/>
            <w:shd w:fill="163A63"/>
            <w:tcMar>
              <w:top w:w="100" w:type="dxa"/>
              <w:start w:w="120" w:type="dxa"/>
              <w:bottom w:w="100" w:type="dxa"/>
              <w:end w:w="120" w:type="dxa"/>
            </w:tcMar>
            <w:vAlign w:val="center"/>
          </w:tcPr>
          <w:p>
            <w:pPr>
              <w:spacing w:after="0"/>
            </w:pPr>
            <w:r>
              <w:rPr>
                <w:rFonts w:ascii="Aptos" w:hAnsi="Aptos"/>
                <w:b/>
                <w:i w:val="0"/>
                <w:color w:val="FFFFFF"/>
                <w:sz w:val="16"/>
              </w:rPr>
              <w:t>Offer</w:t>
            </w:r>
          </w:p>
        </w:tc>
        <w:tc>
          <w:tcPr>
            <w:tcW w:type="dxa" w:w="1900"/>
            <w:shd w:fill="163A63"/>
            <w:tcMar>
              <w:top w:w="100" w:type="dxa"/>
              <w:start w:w="120" w:type="dxa"/>
              <w:bottom w:w="100" w:type="dxa"/>
              <w:end w:w="120" w:type="dxa"/>
            </w:tcMar>
            <w:vAlign w:val="center"/>
          </w:tcPr>
          <w:p>
            <w:pPr>
              <w:spacing w:after="0"/>
            </w:pPr>
            <w:r>
              <w:rPr>
                <w:rFonts w:ascii="Aptos" w:hAnsi="Aptos"/>
                <w:b/>
                <w:i w:val="0"/>
                <w:color w:val="FFFFFF"/>
                <w:sz w:val="16"/>
              </w:rPr>
              <w:t>Fits normal $160 limit?</w:t>
            </w:r>
          </w:p>
        </w:tc>
        <w:tc>
          <w:tcPr>
            <w:tcW w:type="dxa" w:w="1500"/>
            <w:shd w:fill="163A63"/>
            <w:tcMar>
              <w:top w:w="100" w:type="dxa"/>
              <w:start w:w="120" w:type="dxa"/>
              <w:bottom w:w="100" w:type="dxa"/>
              <w:end w:w="120" w:type="dxa"/>
            </w:tcMar>
            <w:vAlign w:val="center"/>
          </w:tcPr>
          <w:p>
            <w:pPr>
              <w:spacing w:after="0"/>
            </w:pPr>
            <w:r>
              <w:rPr>
                <w:rFonts w:ascii="Aptos" w:hAnsi="Aptos"/>
                <w:b/>
                <w:i w:val="0"/>
                <w:color w:val="FFFFFF"/>
                <w:sz w:val="16"/>
              </w:rPr>
              <w:t>Months in debt</w:t>
            </w:r>
          </w:p>
        </w:tc>
        <w:tc>
          <w:tcPr>
            <w:tcW w:type="dxa" w:w="1700"/>
            <w:shd w:fill="163A63"/>
            <w:tcMar>
              <w:top w:w="100" w:type="dxa"/>
              <w:start w:w="120" w:type="dxa"/>
              <w:bottom w:w="100" w:type="dxa"/>
              <w:end w:w="120" w:type="dxa"/>
            </w:tcMar>
            <w:vAlign w:val="center"/>
          </w:tcPr>
          <w:p>
            <w:pPr>
              <w:spacing w:after="0"/>
            </w:pPr>
            <w:r>
              <w:rPr>
                <w:rFonts w:ascii="Aptos" w:hAnsi="Aptos"/>
                <w:b/>
                <w:i w:val="0"/>
                <w:color w:val="FFFFFF"/>
                <w:sz w:val="16"/>
              </w:rPr>
              <w:t>Problem in $125 month</w:t>
            </w:r>
          </w:p>
        </w:tc>
        <w:tc>
          <w:tcPr>
            <w:tcW w:type="dxa" w:w="1900"/>
            <w:shd w:fill="163A63"/>
            <w:tcMar>
              <w:top w:w="100" w:type="dxa"/>
              <w:start w:w="120" w:type="dxa"/>
              <w:bottom w:w="100" w:type="dxa"/>
              <w:end w:w="120" w:type="dxa"/>
            </w:tcMar>
            <w:vAlign w:val="center"/>
          </w:tcPr>
          <w:p>
            <w:pPr>
              <w:spacing w:after="0"/>
            </w:pPr>
            <w:r>
              <w:rPr>
                <w:rFonts w:ascii="Aptos" w:hAnsi="Aptos"/>
                <w:b/>
                <w:i w:val="0"/>
                <w:color w:val="FFFFFF"/>
                <w:sz w:val="16"/>
              </w:rPr>
              <w:t>Possible response to verify</w:t>
            </w:r>
          </w:p>
        </w:tc>
        <w:tc>
          <w:tcPr>
            <w:tcW w:type="dxa" w:w="1260"/>
            <w:shd w:fill="163A63"/>
            <w:tcMar>
              <w:top w:w="100" w:type="dxa"/>
              <w:start w:w="120" w:type="dxa"/>
              <w:bottom w:w="100" w:type="dxa"/>
              <w:end w:w="120" w:type="dxa"/>
            </w:tcMar>
            <w:vAlign w:val="center"/>
          </w:tcPr>
          <w:p>
            <w:pPr>
              <w:spacing w:after="0"/>
            </w:pPr>
            <w:r>
              <w:rPr>
                <w:rFonts w:ascii="Aptos" w:hAnsi="Aptos"/>
                <w:b/>
                <w:i w:val="0"/>
                <w:color w:val="FFFFFF"/>
                <w:sz w:val="16"/>
              </w:rPr>
              <w:t>Remaining risk</w:t>
            </w:r>
          </w:p>
        </w:tc>
      </w:tr>
      <w:tr>
        <w:tc>
          <w:tcPr>
            <w:tcW w:type="dxa" w:w="1100"/>
            <w:tcMar>
              <w:top w:w="100" w:type="dxa"/>
              <w:start w:w="120" w:type="dxa"/>
              <w:bottom w:w="100" w:type="dxa"/>
              <w:end w:w="120" w:type="dxa"/>
            </w:tcMar>
            <w:vAlign w:val="center"/>
          </w:tcPr>
          <w:p>
            <w:pPr>
              <w:spacing w:after="0"/>
            </w:pPr>
            <w:r>
              <w:rPr>
                <w:rFonts w:ascii="Aptos" w:hAnsi="Aptos"/>
                <w:b w:val="0"/>
                <w:i w:val="0"/>
                <w:color w:val="1F2933"/>
                <w:sz w:val="16"/>
              </w:rPr>
              <w:t>A</w:t>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2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100"/>
            <w:shd w:fill="F4F6F8"/>
            <w:tcMar>
              <w:top w:w="100" w:type="dxa"/>
              <w:start w:w="120" w:type="dxa"/>
              <w:bottom w:w="100" w:type="dxa"/>
              <w:end w:w="120" w:type="dxa"/>
            </w:tcMar>
            <w:vAlign w:val="center"/>
          </w:tcPr>
          <w:p>
            <w:pPr>
              <w:spacing w:after="0"/>
            </w:pPr>
            <w:r>
              <w:rPr>
                <w:rFonts w:ascii="Aptos" w:hAnsi="Aptos"/>
                <w:b w:val="0"/>
                <w:i w:val="0"/>
                <w:color w:val="1F2933"/>
                <w:sz w:val="16"/>
              </w:rPr>
              <w:t>B</w:t>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7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2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1100"/>
            <w:tcMar>
              <w:top w:w="100" w:type="dxa"/>
              <w:start w:w="120" w:type="dxa"/>
              <w:bottom w:w="100" w:type="dxa"/>
              <w:end w:w="120" w:type="dxa"/>
            </w:tcMar>
            <w:vAlign w:val="center"/>
          </w:tcPr>
          <w:p>
            <w:pPr>
              <w:spacing w:after="0"/>
            </w:pPr>
            <w:r>
              <w:rPr>
                <w:rFonts w:ascii="Aptos" w:hAnsi="Aptos"/>
                <w:b w:val="0"/>
                <w:i w:val="0"/>
                <w:color w:val="1F2933"/>
                <w:sz w:val="16"/>
              </w:rPr>
              <w:t>C</w:t>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5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7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9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260"/>
            <w:tcMar>
              <w:top w:w="100" w:type="dxa"/>
              <w:start w:w="120" w:type="dxa"/>
              <w:bottom w:w="100" w:type="dxa"/>
              <w:end w:w="120" w:type="dxa"/>
            </w:tcMar>
            <w:vAlign w:val="center"/>
          </w:tcPr>
          <w:p>
            <w:pPr>
              <w:spacing w:after="0"/>
            </w:pPr>
            <w:r>
              <w:rPr>
                <w:rFonts w:ascii="Aptos" w:hAnsi="Aptos"/>
                <w:b w:val="0"/>
                <w:i w:val="0"/>
                <w:color w:val="1F2933"/>
                <w:sz w:val="16"/>
              </w:rPr>
            </w:r>
          </w:p>
        </w:tc>
      </w:tr>
    </w:tbl>
    <w:p>
      <w:r>
        <w:t>Which offer fits Kai’s normal budget? Which handles the $125 month without a shortage? What contract information is still needed before deciding?</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4 - Compare Changed Offers</w:t>
      </w:r>
    </w:p>
    <w:tbl>
      <w:tblPr>
        <w:tblStyle w:val="TableGrid"/>
        <w:tblW w:type="dxa" w:w="9360"/>
        <w:jc w:val="center"/>
        <w:tblLayout w:type="fixed"/>
        <w:tblLook w:firstColumn="1" w:firstRow="1" w:lastColumn="0" w:lastRow="0" w:noHBand="0" w:noVBand="1" w:val="04A0"/>
        <w:tblInd w:w="120" w:type="dxa"/>
      </w:tblPr>
      <w:tblGrid>
        <w:gridCol w:w="3500"/>
        <w:gridCol w:w="2100"/>
        <w:gridCol w:w="2100"/>
        <w:gridCol w:w="1660"/>
      </w:tblGrid>
      <w:tr>
        <w:trPr>
          <w:tblHeader w:val="true"/>
        </w:trPr>
        <w:tc>
          <w:tcPr>
            <w:tcW w:type="dxa" w:w="3500"/>
            <w:shd w:fill="163A63"/>
            <w:tcMar>
              <w:top w:w="100" w:type="dxa"/>
              <w:start w:w="120" w:type="dxa"/>
              <w:bottom w:w="100" w:type="dxa"/>
              <w:end w:w="120" w:type="dxa"/>
            </w:tcMar>
            <w:vAlign w:val="center"/>
          </w:tcPr>
          <w:p>
            <w:pPr>
              <w:spacing w:after="0"/>
            </w:pPr>
            <w:r>
              <w:rPr>
                <w:rFonts w:ascii="Aptos" w:hAnsi="Aptos"/>
                <w:b/>
                <w:i w:val="0"/>
                <w:color w:val="FFFFFF"/>
                <w:sz w:val="16"/>
              </w:rPr>
              <w:t>Change</w:t>
            </w:r>
          </w:p>
        </w:tc>
        <w:tc>
          <w:tcPr>
            <w:tcW w:type="dxa" w:w="2100"/>
            <w:shd w:fill="163A63"/>
            <w:tcMar>
              <w:top w:w="100" w:type="dxa"/>
              <w:start w:w="120" w:type="dxa"/>
              <w:bottom w:w="100" w:type="dxa"/>
              <w:end w:w="120" w:type="dxa"/>
            </w:tcMar>
            <w:vAlign w:val="center"/>
          </w:tcPr>
          <w:p>
            <w:pPr>
              <w:spacing w:after="0"/>
            </w:pPr>
            <w:r>
              <w:rPr>
                <w:rFonts w:ascii="Aptos" w:hAnsi="Aptos"/>
                <w:b/>
                <w:i w:val="0"/>
                <w:color w:val="FFFFFF"/>
                <w:sz w:val="16"/>
              </w:rPr>
              <w:t>Likely effect on monthly payment</w:t>
            </w:r>
          </w:p>
        </w:tc>
        <w:tc>
          <w:tcPr>
            <w:tcW w:type="dxa" w:w="2100"/>
            <w:shd w:fill="163A63"/>
            <w:tcMar>
              <w:top w:w="100" w:type="dxa"/>
              <w:start w:w="120" w:type="dxa"/>
              <w:bottom w:w="100" w:type="dxa"/>
              <w:end w:w="120" w:type="dxa"/>
            </w:tcMar>
            <w:vAlign w:val="center"/>
          </w:tcPr>
          <w:p>
            <w:pPr>
              <w:spacing w:after="0"/>
            </w:pPr>
            <w:r>
              <w:rPr>
                <w:rFonts w:ascii="Aptos" w:hAnsi="Aptos"/>
                <w:b/>
                <w:i w:val="0"/>
                <w:color w:val="FFFFFF"/>
                <w:sz w:val="16"/>
              </w:rPr>
              <w:t>Likely effect on total cost</w:t>
            </w:r>
          </w:p>
        </w:tc>
        <w:tc>
          <w:tcPr>
            <w:tcW w:type="dxa" w:w="1660"/>
            <w:shd w:fill="163A63"/>
            <w:tcMar>
              <w:top w:w="100" w:type="dxa"/>
              <w:start w:w="120" w:type="dxa"/>
              <w:bottom w:w="100" w:type="dxa"/>
              <w:end w:w="120" w:type="dxa"/>
            </w:tcMar>
            <w:vAlign w:val="center"/>
          </w:tcPr>
          <w:p>
            <w:pPr>
              <w:spacing w:after="0"/>
            </w:pPr>
            <w:r>
              <w:rPr>
                <w:rFonts w:ascii="Aptos" w:hAnsi="Aptos"/>
                <w:b/>
                <w:i w:val="0"/>
                <w:color w:val="FFFFFF"/>
                <w:sz w:val="16"/>
              </w:rPr>
              <w:t>Question to ask</w:t>
            </w:r>
          </w:p>
        </w:tc>
      </w:tr>
      <w:tr>
        <w:tc>
          <w:tcPr>
            <w:tcW w:type="dxa" w:w="3500"/>
            <w:tcMar>
              <w:top w:w="100" w:type="dxa"/>
              <w:start w:w="120" w:type="dxa"/>
              <w:bottom w:w="100" w:type="dxa"/>
              <w:end w:w="120" w:type="dxa"/>
            </w:tcMar>
            <w:vAlign w:val="center"/>
          </w:tcPr>
          <w:p>
            <w:pPr>
              <w:spacing w:after="0"/>
            </w:pPr>
            <w:r>
              <w:rPr>
                <w:rFonts w:ascii="Aptos" w:hAnsi="Aptos"/>
                <w:b w:val="0"/>
                <w:i w:val="0"/>
                <w:color w:val="1F2933"/>
                <w:sz w:val="16"/>
              </w:rPr>
              <w:t>Term grows from 24 to 36 months</w:t>
            </w:r>
          </w:p>
        </w:tc>
        <w:tc>
          <w:tcPr>
            <w:tcW w:type="dxa" w:w="21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1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500"/>
            <w:shd w:fill="F4F6F8"/>
            <w:tcMar>
              <w:top w:w="100" w:type="dxa"/>
              <w:start w:w="120" w:type="dxa"/>
              <w:bottom w:w="100" w:type="dxa"/>
              <w:end w:w="120" w:type="dxa"/>
            </w:tcMar>
            <w:vAlign w:val="center"/>
          </w:tcPr>
          <w:p>
            <w:pPr>
              <w:spacing w:after="0"/>
            </w:pPr>
            <w:r>
              <w:rPr>
                <w:rFonts w:ascii="Aptos" w:hAnsi="Aptos"/>
                <w:b w:val="0"/>
                <w:i w:val="0"/>
                <w:color w:val="1F2933"/>
                <w:sz w:val="16"/>
              </w:rPr>
              <w:t>APR falls but fee rises</w:t>
            </w:r>
          </w:p>
        </w:tc>
        <w:tc>
          <w:tcPr>
            <w:tcW w:type="dxa" w:w="21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1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500"/>
            <w:tcMar>
              <w:top w:w="100" w:type="dxa"/>
              <w:start w:w="120" w:type="dxa"/>
              <w:bottom w:w="100" w:type="dxa"/>
              <w:end w:w="120" w:type="dxa"/>
            </w:tcMar>
            <w:vAlign w:val="center"/>
          </w:tcPr>
          <w:p>
            <w:pPr>
              <w:spacing w:after="0"/>
            </w:pPr>
            <w:r>
              <w:rPr>
                <w:rFonts w:ascii="Aptos" w:hAnsi="Aptos"/>
                <w:b w:val="0"/>
                <w:i w:val="0"/>
                <w:color w:val="1F2933"/>
                <w:sz w:val="16"/>
              </w:rPr>
              <w:t>Late fee is added</w:t>
            </w:r>
          </w:p>
        </w:tc>
        <w:tc>
          <w:tcPr>
            <w:tcW w:type="dxa" w:w="21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1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500"/>
            <w:shd w:fill="F4F6F8"/>
            <w:tcMar>
              <w:top w:w="100" w:type="dxa"/>
              <w:start w:w="120" w:type="dxa"/>
              <w:bottom w:w="100" w:type="dxa"/>
              <w:end w:w="120" w:type="dxa"/>
            </w:tcMar>
            <w:vAlign w:val="center"/>
          </w:tcPr>
          <w:p>
            <w:pPr>
              <w:spacing w:after="0"/>
            </w:pPr>
            <w:r>
              <w:rPr>
                <w:rFonts w:ascii="Aptos" w:hAnsi="Aptos"/>
                <w:b w:val="0"/>
                <w:i w:val="0"/>
                <w:color w:val="1F2933"/>
                <w:sz w:val="16"/>
              </w:rPr>
              <w:t>No penalty for early payoff</w:t>
            </w:r>
          </w:p>
        </w:tc>
        <w:tc>
          <w:tcPr>
            <w:tcW w:type="dxa" w:w="21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1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500"/>
            <w:tcMar>
              <w:top w:w="100" w:type="dxa"/>
              <w:start w:w="120" w:type="dxa"/>
              <w:bottom w:w="100" w:type="dxa"/>
              <w:end w:w="120" w:type="dxa"/>
            </w:tcMar>
            <w:vAlign w:val="center"/>
          </w:tcPr>
          <w:p>
            <w:pPr>
              <w:spacing w:after="0"/>
            </w:pPr>
            <w:r>
              <w:rPr>
                <w:rFonts w:ascii="Aptos" w:hAnsi="Aptos"/>
                <w:b w:val="0"/>
                <w:i w:val="0"/>
                <w:color w:val="1F2933"/>
                <w:sz w:val="16"/>
              </w:rPr>
              <w:t>Automatic-payment discount ends</w:t>
            </w:r>
          </w:p>
        </w:tc>
        <w:tc>
          <w:tcPr>
            <w:tcW w:type="dxa" w:w="21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100"/>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500"/>
            <w:shd w:fill="F4F6F8"/>
            <w:tcMar>
              <w:top w:w="100" w:type="dxa"/>
              <w:start w:w="120" w:type="dxa"/>
              <w:bottom w:w="100" w:type="dxa"/>
              <w:end w:w="120" w:type="dxa"/>
            </w:tcMar>
            <w:vAlign w:val="center"/>
          </w:tcPr>
          <w:p>
            <w:pPr>
              <w:spacing w:after="0"/>
            </w:pPr>
            <w:r>
              <w:rPr>
                <w:rFonts w:ascii="Aptos" w:hAnsi="Aptos"/>
                <w:b w:val="0"/>
                <w:i w:val="0"/>
                <w:color w:val="1F2933"/>
                <w:sz w:val="16"/>
              </w:rPr>
              <w:t>Optional product is added to amount borrowed</w:t>
            </w:r>
          </w:p>
        </w:tc>
        <w:tc>
          <w:tcPr>
            <w:tcW w:type="dxa" w:w="21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2100"/>
            <w:shd w:fill="F4F6F8"/>
            <w:tcMar>
              <w:top w:w="100" w:type="dxa"/>
              <w:start w:w="120" w:type="dxa"/>
              <w:bottom w:w="100" w:type="dxa"/>
              <w:end w:w="120" w:type="dxa"/>
            </w:tcMar>
            <w:vAlign w:val="center"/>
          </w:tcPr>
          <w:p>
            <w:pPr>
              <w:spacing w:after="0"/>
            </w:pPr>
            <w:r>
              <w:rPr>
                <w:rFonts w:ascii="Aptos" w:hAnsi="Aptos"/>
                <w:b w:val="0"/>
                <w:i w:val="0"/>
                <w:color w:val="1F2933"/>
                <w:sz w:val="16"/>
              </w:rPr>
            </w:r>
          </w:p>
        </w:tc>
        <w:tc>
          <w:tcPr>
            <w:tcW w:type="dxa" w:w="16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bl>
    <w:p>
      <w:r>
        <w:t>Explain why comparing only the monthly payment can lead to a poor decision.</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before="0" w:after="0" w:line="20" w:lineRule="exact"/>
      </w:pPr>
      <w:r>
        <w:rPr>
          <w:rFonts w:ascii="Aptos" w:hAnsi="Aptos"/>
          <w:b w:val="0"/>
          <w:i w:val="0"/>
          <w:color w:val="1F2933"/>
          <w:sz w:val="2"/>
        </w:rPr>
        <w:br w:type="page"/>
      </w:r>
    </w:p>
    <w:p>
      <w:pPr>
        <w:pStyle w:val="Heading1"/>
      </w:pPr>
      <w:r>
        <w:t>Part 5 - Make the Loan Recommendation</w:t>
      </w:r>
    </w:p>
    <w:tbl>
      <w:tblPr>
        <w:tblStyle w:val="TableGrid"/>
        <w:tblW w:type="dxa" w:w="9360"/>
        <w:jc w:val="center"/>
        <w:tblLayout w:type="fixed"/>
        <w:tblLook w:firstColumn="1" w:firstRow="1" w:lastColumn="0" w:lastRow="0" w:noHBand="0" w:noVBand="1" w:val="04A0"/>
        <w:tblInd w:w="120" w:type="dxa"/>
      </w:tblPr>
      <w:tblGrid>
        <w:gridCol w:w="3900"/>
        <w:gridCol w:w="5460"/>
      </w:tblGrid>
      <w:tr>
        <w:trPr>
          <w:tblHeader w:val="true"/>
        </w:trPr>
        <w:tc>
          <w:tcPr>
            <w:tcW w:type="dxa" w:w="3900"/>
            <w:shd w:fill="163A63"/>
            <w:tcMar>
              <w:top w:w="100" w:type="dxa"/>
              <w:start w:w="120" w:type="dxa"/>
              <w:bottom w:w="100" w:type="dxa"/>
              <w:end w:w="120" w:type="dxa"/>
            </w:tcMar>
            <w:vAlign w:val="center"/>
          </w:tcPr>
          <w:p>
            <w:pPr>
              <w:spacing w:after="0"/>
            </w:pPr>
            <w:r>
              <w:rPr>
                <w:rFonts w:ascii="Aptos" w:hAnsi="Aptos"/>
                <w:b/>
                <w:i w:val="0"/>
                <w:color w:val="FFFFFF"/>
                <w:sz w:val="16"/>
              </w:rPr>
              <w:t>Decision check</w:t>
            </w:r>
          </w:p>
        </w:tc>
        <w:tc>
          <w:tcPr>
            <w:tcW w:type="dxa" w:w="5460"/>
            <w:shd w:fill="163A63"/>
            <w:tcMar>
              <w:top w:w="100" w:type="dxa"/>
              <w:start w:w="120" w:type="dxa"/>
              <w:bottom w:w="100" w:type="dxa"/>
              <w:end w:w="120" w:type="dxa"/>
            </w:tcMar>
            <w:vAlign w:val="center"/>
          </w:tcPr>
          <w:p>
            <w:pPr>
              <w:spacing w:after="0"/>
            </w:pPr>
            <w:r>
              <w:rPr>
                <w:rFonts w:ascii="Aptos" w:hAnsi="Aptos"/>
                <w:b/>
                <w:i w:val="0"/>
                <w:color w:val="FFFFFF"/>
                <w:sz w:val="16"/>
              </w:rPr>
              <w:t>Evidence</w:t>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6"/>
              </w:rPr>
              <w:t>Amount borrowed</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6"/>
              </w:rPr>
              <w:t>APR</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6"/>
              </w:rPr>
              <w:t>Fees</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6"/>
              </w:rPr>
              <w:t>Monthly payment</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6"/>
              </w:rPr>
              <w:t>Number of payments</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6"/>
              </w:rPr>
              <w:t>Total repaid</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6"/>
              </w:rPr>
              <w:t>Dollar borrowing cost</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6"/>
              </w:rPr>
              <w:t>Budget fit</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6"/>
              </w:rPr>
              <w:t>Late-payment rules to verify</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900"/>
            <w:shd w:fill="F4F6F8"/>
            <w:tcMar>
              <w:top w:w="100" w:type="dxa"/>
              <w:start w:w="120" w:type="dxa"/>
              <w:bottom w:w="100" w:type="dxa"/>
              <w:end w:w="120" w:type="dxa"/>
            </w:tcMar>
            <w:vAlign w:val="center"/>
          </w:tcPr>
          <w:p>
            <w:pPr>
              <w:spacing w:after="0"/>
            </w:pPr>
            <w:r>
              <w:rPr>
                <w:rFonts w:ascii="Aptos" w:hAnsi="Aptos"/>
                <w:b w:val="0"/>
                <w:i w:val="0"/>
                <w:color w:val="1F2933"/>
                <w:sz w:val="16"/>
              </w:rPr>
              <w:t>Early-payoff rules to verify</w:t>
            </w:r>
          </w:p>
        </w:tc>
        <w:tc>
          <w:tcPr>
            <w:tcW w:type="dxa" w:w="5460"/>
            <w:shd w:fill="F4F6F8"/>
            <w:tcMar>
              <w:top w:w="100" w:type="dxa"/>
              <w:start w:w="120" w:type="dxa"/>
              <w:bottom w:w="100" w:type="dxa"/>
              <w:end w:w="120" w:type="dxa"/>
            </w:tcMar>
            <w:vAlign w:val="center"/>
          </w:tcPr>
          <w:p>
            <w:pPr>
              <w:spacing w:after="0"/>
            </w:pPr>
            <w:r>
              <w:rPr>
                <w:rFonts w:ascii="Aptos" w:hAnsi="Aptos"/>
                <w:b w:val="0"/>
                <w:i w:val="0"/>
                <w:color w:val="1F2933"/>
                <w:sz w:val="16"/>
              </w:rPr>
            </w:r>
          </w:p>
        </w:tc>
      </w:tr>
      <w:tr>
        <w:tc>
          <w:tcPr>
            <w:tcW w:type="dxa" w:w="3900"/>
            <w:tcMar>
              <w:top w:w="100" w:type="dxa"/>
              <w:start w:w="120" w:type="dxa"/>
              <w:bottom w:w="100" w:type="dxa"/>
              <w:end w:w="120" w:type="dxa"/>
            </w:tcMar>
            <w:vAlign w:val="center"/>
          </w:tcPr>
          <w:p>
            <w:pPr>
              <w:spacing w:after="0"/>
            </w:pPr>
            <w:r>
              <w:rPr>
                <w:rFonts w:ascii="Aptos" w:hAnsi="Aptos"/>
                <w:b w:val="0"/>
                <w:i w:val="0"/>
                <w:color w:val="1F2933"/>
                <w:sz w:val="16"/>
              </w:rPr>
              <w:t>Recommended offer</w:t>
            </w:r>
          </w:p>
        </w:tc>
        <w:tc>
          <w:tcPr>
            <w:tcW w:type="dxa" w:w="5460"/>
            <w:tcMar>
              <w:top w:w="100" w:type="dxa"/>
              <w:start w:w="120" w:type="dxa"/>
              <w:bottom w:w="100" w:type="dxa"/>
              <w:end w:w="120" w:type="dxa"/>
            </w:tcMar>
            <w:vAlign w:val="center"/>
          </w:tcPr>
          <w:p>
            <w:pPr>
              <w:spacing w:after="0"/>
            </w:pPr>
            <w:r>
              <w:rPr>
                <w:rFonts w:ascii="Aptos" w:hAnsi="Aptos"/>
                <w:b w:val="0"/>
                <w:i w:val="0"/>
                <w:color w:val="1F2933"/>
                <w:sz w:val="16"/>
              </w:rPr>
            </w:r>
          </w:p>
        </w:tc>
      </w:tr>
    </w:tbl>
    <w:p>
      <w:r>
        <w:t>Write a 150-200 word recommendation for Kai. Include all three total-repayment amounts, one budget concern, one tradeoff, and two contract facts Kai should verify.</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p>
      <w:pPr>
        <w:spacing w:after="100" w:line="240" w:lineRule="auto"/>
      </w:pPr>
      <w:r>
        <w:t>________________________________________________________________________________</w:t>
      </w:r>
    </w:p>
    <w:sectPr w:rsidR="00FC693F" w:rsidRPr="0006063C" w:rsidSect="00034616">
      <w:headerReference w:type="default" r:id="rId9"/>
      <w:footerReference w:type="default" r:id="rId10"/>
      <w:headerReference w:type="first" r:id="rId11"/>
      <w:footerReference w:type="first" r:id="rId12"/>
      <w:headerReference w:type="even" r:id="rId13"/>
      <w:footerReference w:type="even" r:id="rId14"/>
      <w:pgSz w:w="12240" w:h="15840"/>
      <w:pgMar w:top="1037" w:right="1123" w:bottom="979" w:left="1123" w:header="432"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Arial" w:hAnsi="Arial"/>
        <w:b/>
        <w:color w:val="0F3669"/>
        <w:sz w:val="15"/>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p>
    <w:pPr>
      <w:jc w:val="center"/>
    </w:pPr>
    <w:r>
      <w:rPr>
        <w:rFonts w:ascii="Arial" w:hAnsi="Arial"/>
        <w:color w:val="4B5563"/>
        <w:sz w:val="14"/>
      </w:rPr>
    </w:r>
  </w:p>
  <w:p>
    <w:pPr>
      <w:jc w:val="center"/>
    </w:pPr>
    <w:r>
      <w:rPr>
        <w:rFonts w:ascii="Arial" w:hAnsi="Arial"/>
        <w:color w:val="073B82"/>
        <w:sz w:val="14"/>
      </w:rP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073B82"/>
        <w:sz w:val="14"/>
      </w:rPr>
    </w:r>
    <w:r>
      <w:rPr>
        <w:rFonts w:ascii="Arial" w:hAnsi="Arial"/>
        <w:color w:val="073B82"/>
        <w:sz w:val="14"/>
      </w:rPr>
    </w:r>
    <w:r>
      <w:rPr>
        <w:rFonts w:ascii="Arial" w:hAnsi="Arial"/>
        <w:color w:val="073B82"/>
        <w:sz w:val="14"/>
      </w:rPr>
      <w:t>Independent CFMNY resource • Not affiliated with or endorsed by NYSED • Free for educational use; no resale or republication.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ptos" w:hAnsi="Aptos"/>
        <w:b/>
        <w:i w:val="0"/>
        <w:color w:val="163A63"/>
        <w:sz w:val="18"/>
      </w:rPr>
      <w:t>CFMNY.org</w:t>
    </w:r>
    <w:r>
      <w:rPr>
        <w:rFonts w:ascii="Aptos" w:hAnsi="Aptos"/>
        <w:b w:val="0"/>
        <w:i w:val="0"/>
        <w:color w:val="5F6B76"/>
        <w:sz w:val="18"/>
      </w:rPr>
      <w:t xml:space="preserve">  |  Student Learning Packet</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1F29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163A63"/>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w:hAnsi="Aptos"/>
      <w:b/>
      <w:bCs/>
      <w:color w:val="2E5D89"/>
      <w:sz w:val="27"/>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ptos" w:hAnsi="Aptos"/>
      <w:b/>
      <w:bCs/>
      <w:color w:val="163A63"/>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20" w:line="240" w:lineRule="auto" w:before="0"/>
      <w:contextualSpacing/>
    </w:pPr>
    <w:rPr>
      <w:rFonts w:asciiTheme="majorHAnsi" w:eastAsiaTheme="majorEastAsia" w:hAnsiTheme="majorHAnsi" w:cstheme="majorBidi" w:ascii="Aptos Display" w:hAnsi="Aptos Display"/>
      <w:b/>
      <w:color w:val="163A63"/>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ptos" w:hAnsi="Aptos"/>
      <w:b w:val="0"/>
      <w:i/>
      <w:iCs/>
      <w:color w:val="5F6B76"/>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69" w:lineRule="auto"/>
      <w:ind w:left="547" w:hanging="274"/>
      <w:contextualSpacing/>
    </w:pPr>
    <w:rPr>
      <w:rFonts w:ascii="Aptos" w:hAnsi="Aptos"/>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69" w:lineRule="auto"/>
      <w:ind w:left="547" w:hanging="274"/>
      <w:contextualSpacing/>
    </w:pPr>
    <w:rPr>
      <w:rFonts w:ascii="Aptos" w:hAnsi="Aptos"/>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