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ptos" w:hAnsi="Aptos"/>
          <w:b/>
          <w:i w:val="0"/>
          <w:color w:val="D89A2B"/>
          <w:sz w:val="18"/>
        </w:rPr>
        <w:t>INSURANCE DECISIONS</w:t>
      </w:r>
    </w:p>
    <w:p>
      <w:pPr>
        <w:pStyle w:val="Title"/>
      </w:pPr>
      <w:r>
        <w:t>Building a Renters Insurance Plan</w:t>
      </w:r>
    </w:p>
    <w:p>
      <w:pPr>
        <w:pStyle w:val="Subtitle"/>
      </w:pPr>
      <w:r>
        <w:t>Detailed practice, calculation, decision-making, and assessment</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rPr>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GRADES</w:t>
              <w:br/>
            </w:r>
            <w:r>
              <w:rPr>
                <w:rFonts w:ascii="Aptos" w:hAnsi="Aptos"/>
                <w:b/>
                <w:i w:val="0"/>
                <w:color w:val="163A63"/>
                <w:sz w:val="20"/>
              </w:rPr>
              <w:t>9-12</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TIME</w:t>
              <w:br/>
            </w:r>
            <w:r>
              <w:rPr>
                <w:rFonts w:ascii="Aptos" w:hAnsi="Aptos"/>
                <w:b/>
                <w:i w:val="0"/>
                <w:color w:val="163A63"/>
                <w:sz w:val="20"/>
              </w:rPr>
              <w:t>2 x 42 min</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GROUPING</w:t>
              <w:br/>
            </w:r>
            <w:r>
              <w:rPr>
                <w:rFonts w:ascii="Aptos" w:hAnsi="Aptos"/>
                <w:b/>
                <w:i w:val="0"/>
                <w:color w:val="163A63"/>
                <w:sz w:val="20"/>
              </w:rPr>
              <w:t>I / pairs / whole</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PRODUCT</w:t>
              <w:br/>
            </w:r>
            <w:r>
              <w:rPr>
                <w:rFonts w:ascii="Aptos" w:hAnsi="Aptos"/>
                <w:b/>
                <w:i w:val="0"/>
                <w:color w:val="163A63"/>
                <w:sz w:val="20"/>
              </w:rPr>
              <w:t>Decision</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YOUR CHALLENGE  </w:t>
            </w:r>
            <w:r>
              <w:rPr>
                <w:rFonts w:ascii="Aptos" w:hAnsi="Aptos"/>
                <w:b w:val="0"/>
                <w:i w:val="0"/>
                <w:color w:val="1F2933"/>
                <w:sz w:val="20"/>
              </w:rPr>
              <w:t>Estimate belongings, connect common losses to coverage categories, calculate claim sharing, compare fictional policies, and write a cautious recommendation.</w:t>
            </w:r>
          </w:p>
        </w:tc>
      </w:tr>
    </w:tbl>
    <w:p>
      <w:pPr>
        <w:spacing w:after="0"/>
      </w:pPr>
    </w:p>
    <w:p>
      <w:pPr>
        <w:pStyle w:val="Heading1"/>
      </w:pPr>
      <w:r>
        <w:t>Insurance Is a Risk-Management Tool</w:t>
      </w:r>
    </w:p>
    <w:p>
      <w:r>
        <w:t>Renters insurance can cover specified losses to a tenant’s personal property and may include personal liability and additional living expense coverage. It generally does not insure the landlord’s building. The cause of loss, valuation method, limits, special limits, exclusions, and deductible all matter.</w:t>
      </w:r>
    </w:p>
    <w:tbl>
      <w:tblPr>
        <w:tblStyle w:val="TableGrid"/>
        <w:tblW w:type="dxa" w:w="9360"/>
        <w:jc w:val="center"/>
        <w:tblLayout w:type="fixed"/>
        <w:tblLook w:firstColumn="1" w:firstRow="1" w:lastColumn="0" w:lastRow="0" w:noHBand="0" w:noVBand="1" w:val="04A0"/>
        <w:tblInd w:w="120" w:type="dxa"/>
      </w:tblPr>
      <w:tblGrid>
        <w:gridCol w:w="2600"/>
        <w:gridCol w:w="6760"/>
      </w:tblGrid>
      <w:tr>
        <w:trPr>
          <w:tblHeader w:val="true"/>
        </w:trPr>
        <w:tc>
          <w:tcPr>
            <w:tcW w:type="dxa" w:w="2600"/>
            <w:shd w:fill="163A63"/>
            <w:tcMar>
              <w:top w:w="100" w:type="dxa"/>
              <w:start w:w="120" w:type="dxa"/>
              <w:bottom w:w="100" w:type="dxa"/>
              <w:end w:w="120" w:type="dxa"/>
            </w:tcMar>
            <w:vAlign w:val="center"/>
          </w:tcPr>
          <w:p>
            <w:pPr>
              <w:spacing w:after="0"/>
            </w:pPr>
            <w:r>
              <w:rPr>
                <w:rFonts w:ascii="Aptos" w:hAnsi="Aptos"/>
                <w:b/>
                <w:i w:val="0"/>
                <w:color w:val="FFFFFF"/>
                <w:sz w:val="17"/>
              </w:rPr>
              <w:t>Term</w:t>
            </w:r>
          </w:p>
        </w:tc>
        <w:tc>
          <w:tcPr>
            <w:tcW w:type="dxa" w:w="6760"/>
            <w:shd w:fill="163A63"/>
            <w:tcMar>
              <w:top w:w="100" w:type="dxa"/>
              <w:start w:w="120" w:type="dxa"/>
              <w:bottom w:w="100" w:type="dxa"/>
              <w:end w:w="120" w:type="dxa"/>
            </w:tcMar>
            <w:vAlign w:val="center"/>
          </w:tcPr>
          <w:p>
            <w:pPr>
              <w:spacing w:after="0"/>
            </w:pPr>
            <w:r>
              <w:rPr>
                <w:rFonts w:ascii="Aptos" w:hAnsi="Aptos"/>
                <w:b/>
                <w:i w:val="0"/>
                <w:color w:val="FFFFFF"/>
                <w:sz w:val="17"/>
              </w:rPr>
              <w:t>Meaning in this packet</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7"/>
              </w:rPr>
              <w:t>Personal property</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7"/>
              </w:rPr>
              <w:t>Belongings owned by the insured.</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7"/>
              </w:rPr>
              <w:t>Personal liability</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7"/>
              </w:rPr>
              <w:t>Protection to check when the insured may be legally responsible for injury or damage.</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7"/>
              </w:rPr>
              <w:t>Additional living expense</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7"/>
              </w:rPr>
              <w:t>Coverage to check for certain extra costs when a covered loss makes the home unlivable.</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7"/>
              </w:rPr>
              <w:t>Replacement cost</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7"/>
              </w:rPr>
              <w:t>Valuation based on replacing covered property, subject to policy terms.</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7"/>
              </w:rPr>
              <w:t>Actual cash value</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7"/>
              </w:rPr>
              <w:t>Valuation that may reflect age, wear, and depreciation.</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7"/>
              </w:rPr>
              <w:t>Special limit</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7"/>
              </w:rPr>
              <w:t>A lower limit that may apply to a category such as jewelry.</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IMPORTANT  </w:t>
            </w:r>
            <w:r>
              <w:rPr>
                <w:rFonts w:ascii="Aptos" w:hAnsi="Aptos"/>
                <w:b w:val="0"/>
                <w:i w:val="0"/>
                <w:color w:val="1F2933"/>
                <w:sz w:val="20"/>
              </w:rPr>
              <w:t>All companies, plans, prices, people, and claims in this packet are fictional. Real policies contain definitions, limits, exclusions, conditions, and location-specific rules that must be checked before making a decision.</w:t>
            </w:r>
          </w:p>
        </w:tc>
      </w:tr>
    </w:tbl>
    <w:p>
      <w:pPr>
        <w:spacing w:after="0"/>
      </w:pPr>
    </w:p>
    <w:p>
      <w:pPr>
        <w:spacing w:before="0" w:after="0" w:line="20" w:lineRule="exact"/>
      </w:pPr>
      <w:r>
        <w:rPr>
          <w:rFonts w:ascii="Aptos" w:hAnsi="Aptos"/>
          <w:b w:val="0"/>
          <w:i w:val="0"/>
          <w:color w:val="1F2933"/>
          <w:sz w:val="2"/>
        </w:rPr>
        <w:br w:type="page"/>
      </w:r>
    </w:p>
    <w:p>
      <w:pPr>
        <w:pStyle w:val="Heading1"/>
      </w:pPr>
      <w:r>
        <w:t>Part 1 - Build a Personal-Property Inventory</w:t>
      </w:r>
    </w:p>
    <w:p>
      <w:r>
        <w:t>Use replacement-price estimates, not sentimental value. Keep the scenario fictional.</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rPr>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Item</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Quantity</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Price each</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Estimated total</w:t>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Laptop</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1</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$850</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Phone</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1</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$600</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Clothing groups</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8</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$140</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Bicycle</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1</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$480</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Furniture groups</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4</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$225</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Books/equipment</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5</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$90</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Calculate the total inventory. Which estimates need receipts, photos, serial numbers, or a current price check?</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2 - Separate Building, Belongings, and Liability</w:t>
      </w:r>
    </w:p>
    <w:p>
      <w:r>
        <w:t>A tenant usually does not insure the landlord’s building, but may need protection for belongings, certain living costs, and liability.</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rPr>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Event</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Building / belongings / liability / living cost</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Coverage to check</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Question</w:t>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Fire damages tenant clothing.</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Fire damages the building wall.</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Guest slips because of tenant negligence.</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Covered loss makes unit temporarily unlivable.</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Flood water damages laptop.</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bl>
    <w:p>
      <w:r>
        <w:t>Why must the student check exclusions and special limits instead of assuming every cause of loss is covered?</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3 - Calculate a Fictional Property Claim</w:t>
      </w:r>
    </w:p>
    <w:p>
      <w:r>
        <w:t>Assume the listed loss is covered and ignore depreciation except where stated.</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rPr>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Claim item</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Covered amount</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Deductible / rule</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Possible payment</w:t>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Stolen laptop</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$850</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$500 policy deductible</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Multiple stolen items</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$2,400</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$500 policy deductible</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Jewelry loss</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$1,900</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$1,500 special limit</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Small loss</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$350</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$500 policy deductible</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Calculate each possible payment. For jewelry, use the lower of covered loss or special limit, then subtract the deductible.</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4 - Compare Two Fictional Renters Quotes</w:t>
      </w:r>
    </w:p>
    <w:p>
      <w:r>
        <w:t>The policies have different premiums, deductibles, limits, and valuation terms.</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rPr>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Feature</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Policy A</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Policy B</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Why it matters</w:t>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Annual premium</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$216</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$168</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Personal property limit</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$25,000</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$15,000</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Deductible</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$500</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$1,000</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Valuation term</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Replacement cost</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Actual cash value</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Personal liability limit</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$100,000</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$300,000</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Additional living expense</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Listed; verify limit</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Listed; verify limit</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Calculate monthly premiums. Which policy better matches an $18,500 inventory? Explain why valuation terms affect a claim.</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5 - Write a Renters Insurance Decision Brief</w:t>
      </w:r>
    </w:p>
    <w:p>
      <w:r>
        <w:t>Jordan has an $18,500 inventory, a $700 emergency fund, and no separate jewelry endorsement. Use the evidence, but identify missing policy details.</w:t>
      </w:r>
    </w:p>
    <w:tbl>
      <w:tblPr>
        <w:tblStyle w:val="TableGrid"/>
        <w:tblW w:type="dxa" w:w="9360"/>
        <w:jc w:val="center"/>
        <w:tblLayout w:type="fixed"/>
        <w:tblLook w:firstColumn="1" w:firstRow="1" w:lastColumn="0" w:lastRow="0" w:noHBand="0" w:noVBand="1" w:val="04A0"/>
        <w:tblInd w:w="120" w:type="dxa"/>
      </w:tblPr>
      <w:tblGrid>
        <w:gridCol w:w="4680"/>
        <w:gridCol w:w="4680"/>
      </w:tblGrid>
      <w:tr>
        <w:trPr>
          <w:tblHeader w:val="true"/>
        </w:trPr>
        <w:tc>
          <w:tcPr>
            <w:tcW w:type="dxa" w:w="4680"/>
            <w:shd w:fill="163A63"/>
            <w:tcMar>
              <w:top w:w="100" w:type="dxa"/>
              <w:start w:w="120" w:type="dxa"/>
              <w:bottom w:w="100" w:type="dxa"/>
              <w:end w:w="120" w:type="dxa"/>
            </w:tcMar>
            <w:vAlign w:val="center"/>
          </w:tcPr>
          <w:p>
            <w:pPr>
              <w:spacing w:after="0"/>
            </w:pPr>
            <w:r>
              <w:rPr>
                <w:rFonts w:ascii="Aptos" w:hAnsi="Aptos"/>
                <w:b/>
                <w:i w:val="0"/>
                <w:color w:val="FFFFFF"/>
                <w:sz w:val="16"/>
              </w:rPr>
              <w:t>Decision check</w:t>
            </w:r>
          </w:p>
        </w:tc>
        <w:tc>
          <w:tcPr>
            <w:tcW w:type="dxa" w:w="4680"/>
            <w:shd w:fill="163A63"/>
            <w:tcMar>
              <w:top w:w="100" w:type="dxa"/>
              <w:start w:w="120" w:type="dxa"/>
              <w:bottom w:w="100" w:type="dxa"/>
              <w:end w:w="120" w:type="dxa"/>
            </w:tcMar>
            <w:vAlign w:val="center"/>
          </w:tcPr>
          <w:p>
            <w:pPr>
              <w:spacing w:after="0"/>
            </w:pPr>
            <w:r>
              <w:rPr>
                <w:rFonts w:ascii="Aptos" w:hAnsi="Aptos"/>
                <w:b/>
                <w:i w:val="0"/>
                <w:color w:val="FFFFFF"/>
                <w:sz w:val="16"/>
              </w:rPr>
              <w:t>My evidence</w:t>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Inventory total</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Premium comparison</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Property-limit fit</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Deductible fit</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Valuation method</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Liability limit</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Exclusions/special limits to verify</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Recommendation with limitation</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Write 150-200 words. Include at least three figures and four questions Jordan should ask before purchase.</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r>
        <w:t>Privacy reminder: use the fictional inventory. Do not list real serial numbers, addresses, receipts, or household security details.</w:t>
      </w:r>
    </w:p>
    <w:sectPr w:rsidR="00FC693F" w:rsidRPr="0006063C" w:rsidSect="00034616">
      <w:headerReference w:type="default" r:id="rId9"/>
      <w:footerReference w:type="default" r:id="rId10"/>
      <w:headerReference w:type="first" r:id="rId11"/>
      <w:footerReference w:type="first" r:id="rId12"/>
      <w:headerReference w:type="even" r:id="rId13"/>
      <w:footerReference w:type="even" r:id="rId14"/>
      <w:pgSz w:w="12240" w:h="15840"/>
      <w:pgMar w:top="1037" w:right="1123" w:bottom="979" w:left="1123" w:header="432"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Arial" w:hAnsi="Arial"/>
        <w:b/>
        <w:color w:val="0F3669"/>
        <w:sz w:val="15"/>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p>
    <w:pPr>
      <w:jc w:val="center"/>
    </w:pPr>
    <w:r>
      <w:rPr>
        <w:rFonts w:ascii="Arial" w:hAnsi="Arial"/>
        <w:color w:val="4B5563"/>
        <w:sz w:val="14"/>
      </w:rPr>
    </w:r>
  </w:p>
  <w:p>
    <w:pPr>
      <w:jc w:val="center"/>
    </w:pPr>
    <w:r>
      <w:rPr>
        <w:rFonts w:ascii="Arial" w:hAnsi="Arial"/>
        <w:color w:val="073B82"/>
        <w:sz w:val="14"/>
      </w:rP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ptos" w:hAnsi="Aptos"/>
        <w:b/>
        <w:i w:val="0"/>
        <w:color w:val="163A63"/>
        <w:sz w:val="18"/>
      </w:rPr>
      <w:t>CFMNY.org</w:t>
    </w:r>
    <w:r>
      <w:rPr>
        <w:rFonts w:ascii="Aptos" w:hAnsi="Aptos"/>
        <w:b w:val="0"/>
        <w:i w:val="0"/>
        <w:color w:val="5F6B76"/>
        <w:sz w:val="18"/>
      </w:rPr>
      <w:t xml:space="preserve">  |  Student Learning Packet</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F29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ptos Display" w:hAnsi="Aptos Display"/>
      <w:b/>
      <w:bCs/>
      <w:color w:val="163A63"/>
      <w:sz w:val="34"/>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w:hAnsi="Aptos"/>
      <w:b/>
      <w:bCs/>
      <w:color w:val="2E5D89"/>
      <w:sz w:val="27"/>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w:hAnsi="Aptos"/>
      <w:b/>
      <w:bCs/>
      <w:color w:val="163A63"/>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Aptos Display" w:hAnsi="Aptos Display"/>
      <w:b/>
      <w:color w:val="163A63"/>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ptos" w:hAnsi="Aptos"/>
      <w:b w:val="0"/>
      <w:i/>
      <w:iCs/>
      <w:color w:val="5F6B76"/>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9" w:lineRule="auto"/>
      <w:ind w:left="547" w:hanging="274"/>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69" w:lineRule="auto"/>
      <w:ind w:left="547" w:hanging="274"/>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