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rFonts w:ascii="Aptos" w:hAnsi="Aptos"/>
          <w:b/>
          <w:i w:val="0"/>
          <w:color w:val="D89A2B"/>
          <w:sz w:val="18"/>
        </w:rPr>
        <w:t>CFM CAREER MANAGEMENT: CM.6–CM.8</w:t>
      </w:r>
    </w:p>
    <w:p>
      <w:pPr>
        <w:pStyle w:val="Title"/>
      </w:pPr>
      <w:r>
        <w:t>Building a Lifelong-Learning and Professional-Growth Plan</w:t>
      </w:r>
    </w:p>
    <w:p>
      <w:pPr>
        <w:pStyle w:val="Subtitle"/>
      </w:pPr>
      <w:r>
        <w:t>Detailed practice, calculation, decision-making, and assessment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</w:trP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GRADES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9-12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TIME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2 x 42 min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GROUPING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I / pairs / whole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2E5D89"/>
                <w:sz w:val="16"/>
              </w:rPr>
              <w:t>PRODUCT</w:t>
              <w:br/>
            </w:r>
            <w:r>
              <w:rPr>
                <w:rFonts w:ascii="Aptos" w:hAnsi="Aptos"/>
                <w:b/>
                <w:i w:val="0"/>
                <w:color w:val="163A63"/>
                <w:sz w:val="20"/>
              </w:rPr>
              <w:t>Plan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YOUR CHALLENGE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Analyze a changing career, identify a skill gap, compare learning options, and build a measurable professional-growth plan.</w:t>
            </w:r>
          </w:p>
        </w:tc>
      </w:tr>
    </w:tbl>
    <w:p>
      <w:pPr>
        <w:spacing w:after="0"/>
      </w:pPr>
    </w:p>
    <w:p>
      <w:pPr>
        <w:pStyle w:val="Heading1"/>
      </w:pPr>
      <w:r>
        <w:t>New York CFM Connections: Lifelong Learning, Leadership and Ethics, and Business Communications</w:t>
      </w:r>
    </w:p>
    <w:p>
      <w:r>
        <w:t>Careers change as technology, customer needs, regulations, and work processes change. Lifelong learning means identifying what must be learned, selecting a credible learning experience, practicing the skill, collecting evidence, and updating the plan. A useful plan connects learning to a career goal instead of collecting credentials without purpose.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6760"/>
      </w:tblGrid>
      <w:tr>
        <w:trPr>
          <w:tblHeader w:val="true"/>
          <w:tblHeader w:val="true"/>
        </w:trPr>
        <w:tc>
          <w:tcPr>
            <w:tcW w:type="dxa" w:w="260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Term</w:t>
            </w:r>
          </w:p>
        </w:tc>
        <w:tc>
          <w:tcPr>
            <w:tcW w:type="dxa" w:w="67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Student-friendly meaning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Lifelong learning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Continuing to build knowledge and skills throughout one’s career.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Skill gap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Difference between current ability and the ability needed for a goal.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Credential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Documented evidence that stated requirements were completed.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Professional development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Structured learning intended to improve career-related performance.</w:t>
            </w:r>
          </w:p>
        </w:tc>
      </w:tr>
      <w:tr>
        <w:tc>
          <w:tcPr>
            <w:tcW w:type="dxa" w:w="260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Mentor</w:t>
            </w:r>
          </w:p>
        </w:tc>
        <w:tc>
          <w:tcPr>
            <w:tcW w:type="dxa" w:w="67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person who provides informed guidance and feedback.</w:t>
            </w:r>
          </w:p>
        </w:tc>
      </w:tr>
      <w:tr>
        <w:tc>
          <w:tcPr>
            <w:tcW w:type="dxa" w:w="260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Evidence of learning</w:t>
            </w:r>
          </w:p>
        </w:tc>
        <w:tc>
          <w:tcPr>
            <w:tcW w:type="dxa" w:w="67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A product or performance that demonstrates a skill.</w:t>
            </w:r>
          </w:p>
        </w:tc>
      </w:tr>
    </w:tbl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tblHeader w:val="true"/>
        </w:trPr>
        <w:tc>
          <w:tcPr>
            <w:tcW w:type="dxa" w:w="93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  <w:shd w:fill="EAF2F8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163A63"/>
                <w:sz w:val="20"/>
              </w:rPr>
              <w:t xml:space="preserve">CLASSROOM USE  </w:t>
            </w:r>
            <w:r>
              <w:rPr>
                <w:rFonts w:ascii="Aptos" w:hAnsi="Aptos"/>
                <w:b w:val="0"/>
                <w:i w:val="0"/>
                <w:color w:val="1F2933"/>
                <w:sz w:val="20"/>
              </w:rPr>
              <w:t>All people, employers, figures, brackets, and documents in this packet are fictional. Never place a real Social Security number, employer ID, bank number, or tax document in classroom work.</w:t>
            </w:r>
          </w:p>
        </w:tc>
      </w:tr>
    </w:tbl>
    <w:p>
      <w:pPr>
        <w:spacing w:after="0"/>
      </w:pP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1 - Analyze a Changing Career</w:t>
      </w:r>
    </w:p>
    <w:p>
      <w:r>
        <w:t>A fictional medical-office assistant role is adding secure scheduling software, patient messaging, spreadsheet tracking, and stricter privacy procedures.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2340"/>
        <w:gridCol w:w="2340"/>
        <w:gridCol w:w="2340"/>
        <w:gridCol w:w="2340"/>
      </w:tblGrid>
      <w:tr>
        <w:trPr>
          <w:tblHeader w:val="true"/>
          <w:tblHeader w:val="true"/>
        </w:trPr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New expectation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Current confidence 1–5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Evidence needed</w:t>
            </w:r>
          </w:p>
        </w:tc>
        <w:tc>
          <w:tcPr>
            <w:tcW w:type="dxa" w:w="234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Possible learning action</w:t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Secure scheduling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Professional messaging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Spreadsheet formulas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Privacy procedures</w:t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Team training</w:t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234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Separate technical skills from transferable skills and explain why both matter.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2 - Prioritize a Skill Gap</w:t>
      </w:r>
    </w:p>
    <w:p>
      <w:r>
        <w:t>Rate each gap for career importance, urgency, current readiness, and opportunity to practice.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tblHeader w:val="true"/>
          <w:tblHeader w:val="true"/>
        </w:trPr>
        <w:tc>
          <w:tcPr>
            <w:tcW w:type="dxa" w:w="1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Skill</w:t>
            </w:r>
          </w:p>
        </w:tc>
        <w:tc>
          <w:tcPr>
            <w:tcW w:type="dxa" w:w="1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Importance 1–5</w:t>
            </w:r>
          </w:p>
        </w:tc>
        <w:tc>
          <w:tcPr>
            <w:tcW w:type="dxa" w:w="1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Urgency 1–5</w:t>
            </w:r>
          </w:p>
        </w:tc>
        <w:tc>
          <w:tcPr>
            <w:tcW w:type="dxa" w:w="1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Gap 1–5</w:t>
            </w:r>
          </w:p>
        </w:tc>
        <w:tc>
          <w:tcPr>
            <w:tcW w:type="dxa" w:w="1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Practice access 1–5</w:t>
            </w:r>
          </w:p>
        </w:tc>
        <w:tc>
          <w:tcPr>
            <w:tcW w:type="dxa" w:w="1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Priority explanation</w:t>
            </w:r>
          </w:p>
        </w:tc>
      </w:tr>
      <w:tr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Scheduling software</w:t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Professional writing</w:t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Spreadsheet skills</w:t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Privacy procedures</w:t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Peer training</w:t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Do not simply add scores; explain why the chosen gap should be addressed first.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3 - Compare Learning Options</w:t>
      </w:r>
    </w:p>
    <w:p>
      <w:r>
        <w:t>Compare a free employer tutorial, a $75 online course, a community-college workshop, and weekly mentor practice.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1560"/>
        <w:gridCol w:w="1560"/>
        <w:gridCol w:w="1560"/>
        <w:gridCol w:w="1560"/>
        <w:gridCol w:w="1560"/>
        <w:gridCol w:w="1560"/>
      </w:tblGrid>
      <w:tr>
        <w:trPr>
          <w:tblHeader w:val="true"/>
          <w:tblHeader w:val="true"/>
        </w:trPr>
        <w:tc>
          <w:tcPr>
            <w:tcW w:type="dxa" w:w="1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Option</w:t>
            </w:r>
          </w:p>
        </w:tc>
        <w:tc>
          <w:tcPr>
            <w:tcW w:type="dxa" w:w="1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Cost/time</w:t>
            </w:r>
          </w:p>
        </w:tc>
        <w:tc>
          <w:tcPr>
            <w:tcW w:type="dxa" w:w="1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Credibility evidence</w:t>
            </w:r>
          </w:p>
        </w:tc>
        <w:tc>
          <w:tcPr>
            <w:tcW w:type="dxa" w:w="1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Practice/feedback</w:t>
            </w:r>
          </w:p>
        </w:tc>
        <w:tc>
          <w:tcPr>
            <w:tcW w:type="dxa" w:w="1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Best use</w:t>
            </w:r>
          </w:p>
        </w:tc>
        <w:tc>
          <w:tcPr>
            <w:tcW w:type="dxa" w:w="156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Limitation</w:t>
            </w:r>
          </w:p>
        </w:tc>
      </w:tr>
      <w:tr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Employer tutorial</w:t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Online course</w:t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College workshop</w:t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Mentor practice</w:t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  <w:tc>
          <w:tcPr>
            <w:tcW w:type="dxa" w:w="156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A credential is not automatically the best option; relevance, practice, feedback, access, and cost matter.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4 - Write a SMART Growth Goal</w:t>
      </w:r>
    </w:p>
    <w:p>
      <w:r>
        <w:t>Create one 8-week learning goal and weekly checkpoints.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Plan element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Student response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Specific skill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Measurable performance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Learning actions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Weekly schedule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Evidence/artifact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Feedback source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Week-4 checkpoint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Week-8 result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The goal must describe a performance, not merely “complete a course.”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before="0" w:after="0" w:line="20" w:lineRule="exact"/>
      </w:pPr>
      <w:r>
        <w:rPr>
          <w:rFonts w:ascii="Aptos" w:hAnsi="Aptos"/>
          <w:b w:val="0"/>
          <w:i w:val="0"/>
          <w:color w:val="1F2933"/>
          <w:sz w:val="2"/>
        </w:rPr>
        <w:br w:type="page"/>
      </w:r>
    </w:p>
    <w:p>
      <w:pPr>
        <w:pStyle w:val="Heading1"/>
      </w:pPr>
      <w:r>
        <w:t>Part 5 - Create a Professional-Growth Recommendation</w:t>
      </w:r>
    </w:p>
    <w:p>
      <w:r>
        <w:t>Recommend a primary learning option, practice plan, evidence, and revision trigger.</w:t>
      </w:r>
    </w:p>
    <w:tbl>
      <w:tblPr>
        <w:tblStyle w:val="TableGrid"/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4680"/>
        <w:gridCol w:w="4680"/>
      </w:tblGrid>
      <w:tr>
        <w:trPr>
          <w:tblHeader w:val="true"/>
          <w:tblHeader w:val="true"/>
        </w:trPr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Decision check</w:t>
            </w:r>
          </w:p>
        </w:tc>
        <w:tc>
          <w:tcPr>
            <w:tcW w:type="dxa" w:w="4680"/>
            <w:shd w:fill="163A63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/>
                <w:i w:val="0"/>
                <w:color w:val="FFFFFF"/>
                <w:sz w:val="16"/>
              </w:rPr>
              <w:t>My evidence</w:t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Career change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Priority gap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Selected option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Cost/time trade-off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Practice method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Mentor/feedback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Evidence of learning</w:t>
            </w:r>
          </w:p>
        </w:tc>
        <w:tc>
          <w:tcPr>
            <w:tcW w:type="dxa" w:w="4680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  <w:tr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  <w:t>Revision trigger</w:t>
            </w:r>
          </w:p>
        </w:tc>
        <w:tc>
          <w:tcPr>
            <w:tcW w:type="dxa" w:w="4680"/>
            <w:shd w:fill="F4F6F8"/>
            <w:tcMar>
              <w:top w:w="100" w:type="dxa"/>
              <w:start w:w="120" w:type="dxa"/>
              <w:bottom w:w="100" w:type="dxa"/>
              <w:end w:w="120" w:type="dxa"/>
            </w:tcMar>
            <w:vAlign w:val="center"/>
          </w:tcPr>
          <w:p>
            <w:pPr>
              <w:spacing w:after="0"/>
            </w:pPr>
            <w:r>
              <w:rPr>
                <w:rFonts w:ascii="Aptos" w:hAnsi="Aptos"/>
                <w:b w:val="0"/>
                <w:i w:val="0"/>
                <w:color w:val="1F2933"/>
                <w:sz w:val="16"/>
              </w:rPr>
            </w:r>
          </w:p>
        </w:tc>
      </w:tr>
    </w:tbl>
    <w:p>
      <w:r>
        <w:t>Write 150–200 words using at least five scenario details.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p>
      <w:pPr>
        <w:spacing w:after="100" w:line="240" w:lineRule="auto"/>
      </w:pPr>
      <w:r>
        <w:t>________________________________________________________________________________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headerReference w:type="first" r:id="rId11"/>
      <w:footerReference w:type="first" r:id="rId12"/>
      <w:headerReference w:type="even" r:id="rId13"/>
      <w:footerReference w:type="even" r:id="rId14"/>
      <w:pgSz w:w="12240" w:h="15840"/>
      <w:pgMar w:top="1037" w:right="1123" w:bottom="979" w:left="1123" w:header="432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center"/>
    </w:pPr>
    <w:r>
      <w:rPr>
        <w:rFonts w:ascii="Arial" w:hAnsi="Arial"/>
        <w:b/>
        <w:color w:val="0F3669"/>
        <w:sz w:val="15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  <w:p>
    <w:pPr>
      <w:jc w:val="center"/>
    </w:pPr>
    <w:r>
      <w:rPr>
        <w:rFonts w:ascii="Arial" w:hAnsi="Arial"/>
        <w:color w:val="4B5563"/>
        <w:sz w:val="14"/>
      </w:rPr>
    </w:r>
  </w:p>
  <w:p>
    <w:pPr>
      <w:jc w:val="center"/>
    </w:pPr>
    <w:r>
      <w:rPr>
        <w:rFonts w:ascii="Arial" w:hAnsi="Arial"/>
        <w:color w:val="073B82"/>
        <w:sz w:val="14"/>
      </w:rPr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footer3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</w:r>
    <w:r>
      <w:rPr>
        <w:rFonts w:ascii="Arial" w:hAnsi="Arial"/>
        <w:color w:val="073B82"/>
        <w:sz w:val="14"/>
      </w:rPr>
      <w:t>Independent CFMNY resource • Not affiliated with or endorsed by NYSED • Free for educational use; no resale or republication.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Aptos" w:hAnsi="Aptos"/>
        <w:b/>
        <w:i w:val="0"/>
        <w:color w:val="163A63"/>
        <w:sz w:val="18"/>
      </w:rPr>
      <w:t>CFMNY.org</w:t>
    </w:r>
    <w:r>
      <w:rPr>
        <w:rFonts w:ascii="Aptos" w:hAnsi="Aptos"/>
        <w:b w:val="0"/>
        <w:i w:val="0"/>
        <w:color w:val="5F6B76"/>
        <w:sz w:val="18"/>
      </w:rPr>
      <w:t xml:space="preserve">  |  Student Learning Packet</w:t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header3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Aptos" w:hAnsi="Aptos"/>
      <w:color w:val="1F29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4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163A63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100"/>
      <w:outlineLvl w:val="1"/>
    </w:pPr>
    <w:rPr>
      <w:rFonts w:asciiTheme="majorHAnsi" w:eastAsiaTheme="majorEastAsia" w:hAnsiTheme="majorHAnsi" w:cstheme="majorBidi" w:ascii="Aptos" w:hAnsi="Aptos"/>
      <w:b/>
      <w:bCs/>
      <w:color w:val="2E5D89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 w:ascii="Aptos" w:hAnsi="Aptos"/>
      <w:b/>
      <w:bCs/>
      <w:color w:val="163A63"/>
      <w:sz w:val="23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/>
      <w:color w:val="163A63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200"/>
    </w:pPr>
    <w:rPr>
      <w:rFonts w:asciiTheme="majorHAnsi" w:eastAsiaTheme="majorEastAsia" w:hAnsiTheme="majorHAnsi" w:cstheme="majorBidi" w:ascii="Aptos" w:hAnsi="Aptos"/>
      <w:b w:val="0"/>
      <w:i/>
      <w:iCs/>
      <w:color w:val="5F6B76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80" w:line="269" w:lineRule="auto"/>
      <w:ind w:left="547" w:hanging="274"/>
      <w:contextualSpacing/>
    </w:pPr>
    <w:rPr>
      <w:rFonts w:ascii="Aptos" w:hAnsi="Aptos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eader" Target="header2.xml"/><Relationship Id="rId12" Type="http://schemas.openxmlformats.org/officeDocument/2006/relationships/footer" Target="footer2.xml"/><Relationship Id="rId13" Type="http://schemas.openxmlformats.org/officeDocument/2006/relationships/header" Target="header3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