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BUDGET REVIEW AND ADJUSTMENT</w:t>
      </w:r>
    </w:p>
    <w:p>
      <w:pPr>
        <w:pStyle w:val="Title"/>
      </w:pPr>
      <w:r>
        <w:t>Budget Method Comparison</w:t>
      </w:r>
    </w:p>
    <w:p>
      <w:pPr>
        <w:pStyle w:val="Subtitle"/>
      </w:pPr>
      <w:r>
        <w:t>Detailed practice, calculation, diagnosis,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Method-fit recommendation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Try three ways to organize the same monthly income. Compare what each method makes easy or difficult, test what happens when the month changes, and recommend the method that best fits the person.</w:t>
            </w:r>
          </w:p>
        </w:tc>
      </w:tr>
    </w:tbl>
    <w:p>
      <w:pPr>
        <w:spacing w:after="0"/>
      </w:pPr>
    </w:p>
    <w:p>
      <w:pPr>
        <w:pStyle w:val="Heading1"/>
      </w:pPr>
      <w:r>
        <w:t>Three Planning Structures</w:t>
      </w:r>
    </w:p>
    <w:tbl>
      <w:tblPr>
        <w:tblStyle w:val="TableGrid"/>
        <w:tblW w:type="dxa" w:w="9360"/>
        <w:jc w:val="center"/>
        <w:tblLayout w:type="fixed"/>
        <w:tblLook w:firstColumn="1" w:firstRow="1" w:lastColumn="0" w:lastRow="0" w:noHBand="0" w:noVBand="1" w:val="04A0"/>
        <w:tblInd w:w="120" w:type="dxa"/>
      </w:tblPr>
      <w:tblGrid>
        <w:gridCol w:w="1900"/>
        <w:gridCol w:w="2500"/>
        <w:gridCol w:w="2480"/>
        <w:gridCol w:w="2480"/>
      </w:tblGrid>
      <w:tr>
        <w:trPr>
          <w:tblHeader w:val="true"/>
        </w:trPr>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Method</w:t>
            </w:r>
          </w:p>
        </w:tc>
        <w:tc>
          <w:tcPr>
            <w:tcW w:type="dxa" w:w="2500"/>
            <w:shd w:fill="163A63"/>
            <w:tcMar>
              <w:top w:w="100" w:type="dxa"/>
              <w:start w:w="120" w:type="dxa"/>
              <w:bottom w:w="100" w:type="dxa"/>
              <w:end w:w="120" w:type="dxa"/>
            </w:tcMar>
            <w:vAlign w:val="center"/>
          </w:tcPr>
          <w:p>
            <w:pPr>
              <w:spacing w:after="0"/>
            </w:pPr>
            <w:r>
              <w:rPr>
                <w:rFonts w:ascii="Aptos" w:hAnsi="Aptos"/>
                <w:b/>
                <w:i w:val="0"/>
                <w:color w:val="FFFFFF"/>
                <w:sz w:val="16"/>
              </w:rPr>
              <w:t>How it works</w:t>
            </w:r>
          </w:p>
        </w:tc>
        <w:tc>
          <w:tcPr>
            <w:tcW w:type="dxa" w:w="2480"/>
            <w:shd w:fill="163A63"/>
            <w:tcMar>
              <w:top w:w="100" w:type="dxa"/>
              <w:start w:w="120" w:type="dxa"/>
              <w:bottom w:w="100" w:type="dxa"/>
              <w:end w:w="120" w:type="dxa"/>
            </w:tcMar>
            <w:vAlign w:val="center"/>
          </w:tcPr>
          <w:p>
            <w:pPr>
              <w:spacing w:after="0"/>
            </w:pPr>
            <w:r>
              <w:rPr>
                <w:rFonts w:ascii="Aptos" w:hAnsi="Aptos"/>
                <w:b/>
                <w:i w:val="0"/>
                <w:color w:val="FFFFFF"/>
                <w:sz w:val="16"/>
              </w:rPr>
              <w:t>What it does well</w:t>
            </w:r>
          </w:p>
        </w:tc>
        <w:tc>
          <w:tcPr>
            <w:tcW w:type="dxa" w:w="2480"/>
            <w:shd w:fill="163A63"/>
            <w:tcMar>
              <w:top w:w="100" w:type="dxa"/>
              <w:start w:w="120" w:type="dxa"/>
              <w:bottom w:w="100" w:type="dxa"/>
              <w:end w:w="120" w:type="dxa"/>
            </w:tcMar>
            <w:vAlign w:val="center"/>
          </w:tcPr>
          <w:p>
            <w:pPr>
              <w:spacing w:after="0"/>
            </w:pPr>
            <w:r>
              <w:rPr>
                <w:rFonts w:ascii="Aptos" w:hAnsi="Aptos"/>
                <w:b/>
                <w:i w:val="0"/>
                <w:color w:val="FFFFFF"/>
                <w:sz w:val="16"/>
              </w:rPr>
              <w:t>Possible problem</w:t>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Category plan</w:t>
            </w:r>
          </w:p>
        </w:tc>
        <w:tc>
          <w:tcPr>
            <w:tcW w:type="dxa" w:w="2500"/>
            <w:tcMar>
              <w:top w:w="100" w:type="dxa"/>
              <w:start w:w="120" w:type="dxa"/>
              <w:bottom w:w="100" w:type="dxa"/>
              <w:end w:w="120" w:type="dxa"/>
            </w:tcMar>
            <w:vAlign w:val="center"/>
          </w:tcPr>
          <w:p>
            <w:pPr>
              <w:spacing w:after="0"/>
            </w:pPr>
            <w:r>
              <w:rPr>
                <w:rFonts w:ascii="Aptos" w:hAnsi="Aptos"/>
                <w:b w:val="0"/>
                <w:i w:val="0"/>
                <w:color w:val="1F2933"/>
                <w:sz w:val="16"/>
              </w:rPr>
              <w:t>Set an amount for each category and leave some extra money as a cushion.</w:t>
            </w:r>
          </w:p>
        </w:tc>
        <w:tc>
          <w:tcPr>
            <w:tcW w:type="dxa" w:w="2480"/>
            <w:tcMar>
              <w:top w:w="100" w:type="dxa"/>
              <w:start w:w="120" w:type="dxa"/>
              <w:bottom w:w="100" w:type="dxa"/>
              <w:end w:w="120" w:type="dxa"/>
            </w:tcMar>
            <w:vAlign w:val="center"/>
          </w:tcPr>
          <w:p>
            <w:pPr>
              <w:spacing w:after="0"/>
            </w:pPr>
            <w:r>
              <w:rPr>
                <w:rFonts w:ascii="Aptos" w:hAnsi="Aptos"/>
                <w:b w:val="0"/>
                <w:i w:val="0"/>
                <w:color w:val="1F2933"/>
                <w:sz w:val="16"/>
              </w:rPr>
              <w:t>Flexible and easy to check.</w:t>
            </w:r>
          </w:p>
        </w:tc>
        <w:tc>
          <w:tcPr>
            <w:tcW w:type="dxa" w:w="2480"/>
            <w:tcMar>
              <w:top w:w="100" w:type="dxa"/>
              <w:start w:w="120" w:type="dxa"/>
              <w:bottom w:w="100" w:type="dxa"/>
              <w:end w:w="120" w:type="dxa"/>
            </w:tcMar>
            <w:vAlign w:val="center"/>
          </w:tcPr>
          <w:p>
            <w:pPr>
              <w:spacing w:after="0"/>
            </w:pPr>
            <w:r>
              <w:rPr>
                <w:rFonts w:ascii="Aptos" w:hAnsi="Aptos"/>
                <w:b w:val="0"/>
                <w:i w:val="0"/>
                <w:color w:val="1F2933"/>
                <w:sz w:val="16"/>
              </w:rPr>
              <w:t>Extra money may be spent without a plan.</w:t>
            </w:r>
          </w:p>
        </w:tc>
      </w:tr>
      <w:tr>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t>Every-dollar plan</w:t>
            </w:r>
          </w:p>
        </w:tc>
        <w:tc>
          <w:tcPr>
            <w:tcW w:type="dxa" w:w="2500"/>
            <w:shd w:fill="F4F6F8"/>
            <w:tcMar>
              <w:top w:w="100" w:type="dxa"/>
              <w:start w:w="120" w:type="dxa"/>
              <w:bottom w:w="100" w:type="dxa"/>
              <w:end w:w="120" w:type="dxa"/>
            </w:tcMar>
            <w:vAlign w:val="center"/>
          </w:tcPr>
          <w:p>
            <w:pPr>
              <w:spacing w:after="0"/>
            </w:pPr>
            <w:r>
              <w:rPr>
                <w:rFonts w:ascii="Aptos" w:hAnsi="Aptos"/>
                <w:b w:val="0"/>
                <w:i w:val="0"/>
                <w:color w:val="1F2933"/>
                <w:sz w:val="16"/>
              </w:rPr>
              <w:t>Give every dollar a job: spending, saving, debt payment, or cushion.</w:t>
            </w:r>
          </w:p>
        </w:tc>
        <w:tc>
          <w:tcPr>
            <w:tcW w:type="dxa" w:w="2480"/>
            <w:shd w:fill="F4F6F8"/>
            <w:tcMar>
              <w:top w:w="100" w:type="dxa"/>
              <w:start w:w="120" w:type="dxa"/>
              <w:bottom w:w="100" w:type="dxa"/>
              <w:end w:w="120" w:type="dxa"/>
            </w:tcMar>
            <w:vAlign w:val="center"/>
          </w:tcPr>
          <w:p>
            <w:pPr>
              <w:spacing w:after="0"/>
            </w:pPr>
            <w:r>
              <w:rPr>
                <w:rFonts w:ascii="Aptos" w:hAnsi="Aptos"/>
                <w:b w:val="0"/>
                <w:i w:val="0"/>
                <w:color w:val="1F2933"/>
                <w:sz w:val="16"/>
              </w:rPr>
              <w:t>Shows every choice clearly.</w:t>
            </w:r>
          </w:p>
        </w:tc>
        <w:tc>
          <w:tcPr>
            <w:tcW w:type="dxa" w:w="2480"/>
            <w:shd w:fill="F4F6F8"/>
            <w:tcMar>
              <w:top w:w="100" w:type="dxa"/>
              <w:start w:w="120" w:type="dxa"/>
              <w:bottom w:w="100" w:type="dxa"/>
              <w:end w:w="120" w:type="dxa"/>
            </w:tcMar>
            <w:vAlign w:val="center"/>
          </w:tcPr>
          <w:p>
            <w:pPr>
              <w:spacing w:after="0"/>
            </w:pPr>
            <w:r>
              <w:rPr>
                <w:rFonts w:ascii="Aptos" w:hAnsi="Aptos"/>
                <w:b w:val="0"/>
                <w:i w:val="0"/>
                <w:color w:val="1F2933"/>
                <w:sz w:val="16"/>
              </w:rPr>
              <w:t>Can feel strict if the amounts are not realistic.</w:t>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50/30/20 guide</w:t>
            </w:r>
          </w:p>
        </w:tc>
        <w:tc>
          <w:tcPr>
            <w:tcW w:type="dxa" w:w="2500"/>
            <w:tcMar>
              <w:top w:w="100" w:type="dxa"/>
              <w:start w:w="120" w:type="dxa"/>
              <w:bottom w:w="100" w:type="dxa"/>
              <w:end w:w="120" w:type="dxa"/>
            </w:tcMar>
            <w:vAlign w:val="center"/>
          </w:tcPr>
          <w:p>
            <w:pPr>
              <w:spacing w:after="0"/>
            </w:pPr>
            <w:r>
              <w:rPr>
                <w:rFonts w:ascii="Aptos" w:hAnsi="Aptos"/>
                <w:b w:val="0"/>
                <w:i w:val="0"/>
                <w:color w:val="1F2933"/>
                <w:sz w:val="16"/>
              </w:rPr>
              <w:t>Compare about 50% for needs, 30% for wants, and 20% for saving and debt goals.</w:t>
            </w:r>
          </w:p>
        </w:tc>
        <w:tc>
          <w:tcPr>
            <w:tcW w:type="dxa" w:w="2480"/>
            <w:tcMar>
              <w:top w:w="100" w:type="dxa"/>
              <w:start w:w="120" w:type="dxa"/>
              <w:bottom w:w="100" w:type="dxa"/>
              <w:end w:w="120" w:type="dxa"/>
            </w:tcMar>
            <w:vAlign w:val="center"/>
          </w:tcPr>
          <w:p>
            <w:pPr>
              <w:spacing w:after="0"/>
            </w:pPr>
            <w:r>
              <w:rPr>
                <w:rFonts w:ascii="Aptos" w:hAnsi="Aptos"/>
                <w:b w:val="0"/>
                <w:i w:val="0"/>
                <w:color w:val="1F2933"/>
                <w:sz w:val="16"/>
              </w:rPr>
              <w:t>Gives a quick big-picture check.</w:t>
            </w:r>
          </w:p>
        </w:tc>
        <w:tc>
          <w:tcPr>
            <w:tcW w:type="dxa" w:w="2480"/>
            <w:tcMar>
              <w:top w:w="100" w:type="dxa"/>
              <w:start w:w="120" w:type="dxa"/>
              <w:bottom w:w="100" w:type="dxa"/>
              <w:end w:w="120" w:type="dxa"/>
            </w:tcMar>
            <w:vAlign w:val="center"/>
          </w:tcPr>
          <w:p>
            <w:pPr>
              <w:spacing w:after="0"/>
            </w:pPr>
            <w:r>
              <w:rPr>
                <w:rFonts w:ascii="Aptos" w:hAnsi="Aptos"/>
                <w:b w:val="0"/>
                <w:i w:val="0"/>
                <w:color w:val="1F2933"/>
                <w:sz w:val="16"/>
              </w:rPr>
              <w:t>High local costs may make the percentages hard to reach.</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GUIDELINE, NOT LAW  </w:t>
            </w:r>
            <w:r>
              <w:rPr>
                <w:rFonts w:ascii="Aptos" w:hAnsi="Aptos"/>
                <w:b w:val="0"/>
                <w:i w:val="0"/>
                <w:color w:val="1F2933"/>
                <w:sz w:val="20"/>
              </w:rPr>
              <w:t>A percentage framework is a comparison tool. It is not proof that a person can or should force necessities into a preset percentage.</w:t>
            </w:r>
          </w:p>
        </w:tc>
      </w:tr>
    </w:tbl>
    <w:p>
      <w:pPr>
        <w:spacing w:after="0"/>
      </w:pPr>
    </w:p>
    <w:p>
      <w:pPr>
        <w:spacing w:before="0" w:after="0" w:line="20" w:lineRule="exact"/>
      </w:pPr>
      <w:r>
        <w:rPr>
          <w:rFonts w:ascii="Aptos" w:hAnsi="Aptos"/>
          <w:b w:val="0"/>
          <w:i w:val="0"/>
          <w:color w:val="1F2933"/>
          <w:sz w:val="2"/>
        </w:rPr>
        <w:br w:type="page"/>
      </w:r>
    </w:p>
    <w:p>
      <w:pPr>
        <w:pStyle w:val="Heading1"/>
      </w:pPr>
      <w:r>
        <w:t>Part 1 - One Profile, Three Methods</w:t>
      </w:r>
    </w:p>
    <w:p>
      <w:r>
        <w:t>Taylor has $1,800 monthly take-home income. Current plan: housing contribution $550, transit $140, phone $60, food $300, health/personal $90, entertainment $160, clothing $80, savings $250, debt payment $70, periodic-expense set-aside $60.</w:t>
      </w:r>
    </w:p>
    <w:tbl>
      <w:tblPr>
        <w:tblStyle w:val="TableGrid"/>
        <w:tblW w:type="dxa" w:w="9360"/>
        <w:jc w:val="center"/>
        <w:tblLayout w:type="fixed"/>
        <w:tblLook w:firstColumn="1" w:firstRow="1" w:lastColumn="0" w:lastRow="0" w:noHBand="0" w:noVBand="1" w:val="04A0"/>
        <w:tblInd w:w="120" w:type="dxa"/>
      </w:tblPr>
      <w:tblGrid>
        <w:gridCol w:w="1800"/>
        <w:gridCol w:w="1200"/>
        <w:gridCol w:w="2100"/>
        <w:gridCol w:w="2200"/>
        <w:gridCol w:w="2060"/>
      </w:tblGrid>
      <w:tr>
        <w:trPr>
          <w:tblHeader w:val="true"/>
        </w:trPr>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5"/>
              </w:rPr>
              <w:t>Category</w:t>
            </w:r>
          </w:p>
        </w:tc>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5"/>
              </w:rPr>
              <w:t>Amount</w:t>
            </w:r>
          </w:p>
        </w:tc>
        <w:tc>
          <w:tcPr>
            <w:tcW w:type="dxa" w:w="2100"/>
            <w:shd w:fill="163A63"/>
            <w:tcMar>
              <w:top w:w="100" w:type="dxa"/>
              <w:start w:w="120" w:type="dxa"/>
              <w:bottom w:w="100" w:type="dxa"/>
              <w:end w:w="120" w:type="dxa"/>
            </w:tcMar>
            <w:vAlign w:val="center"/>
          </w:tcPr>
          <w:p>
            <w:pPr>
              <w:spacing w:after="0"/>
            </w:pPr>
            <w:r>
              <w:rPr>
                <w:rFonts w:ascii="Aptos" w:hAnsi="Aptos"/>
                <w:b/>
                <w:i w:val="0"/>
                <w:color w:val="FFFFFF"/>
                <w:sz w:val="15"/>
              </w:rPr>
              <w:t>Need, want, or goal?</w:t>
            </w:r>
          </w:p>
        </w:tc>
        <w:tc>
          <w:tcPr>
            <w:tcW w:type="dxa" w:w="2200"/>
            <w:shd w:fill="163A63"/>
            <w:tcMar>
              <w:top w:w="100" w:type="dxa"/>
              <w:start w:w="120" w:type="dxa"/>
              <w:bottom w:w="100" w:type="dxa"/>
              <w:end w:w="120" w:type="dxa"/>
            </w:tcMar>
            <w:vAlign w:val="center"/>
          </w:tcPr>
          <w:p>
            <w:pPr>
              <w:spacing w:after="0"/>
            </w:pPr>
            <w:r>
              <w:rPr>
                <w:rFonts w:ascii="Aptos" w:hAnsi="Aptos"/>
                <w:b/>
                <w:i w:val="0"/>
                <w:color w:val="FFFFFF"/>
                <w:sz w:val="15"/>
              </w:rPr>
              <w:t>Same each month, flexible, or occasional?</w:t>
            </w:r>
          </w:p>
        </w:tc>
        <w:tc>
          <w:tcPr>
            <w:tcW w:type="dxa" w:w="2060"/>
            <w:shd w:fill="163A63"/>
            <w:tcMar>
              <w:top w:w="100" w:type="dxa"/>
              <w:start w:w="120" w:type="dxa"/>
              <w:bottom w:w="100" w:type="dxa"/>
              <w:end w:w="120" w:type="dxa"/>
            </w:tcMar>
            <w:vAlign w:val="center"/>
          </w:tcPr>
          <w:p>
            <w:pPr>
              <w:spacing w:after="0"/>
            </w:pPr>
            <w:r>
              <w:rPr>
                <w:rFonts w:ascii="Aptos" w:hAnsi="Aptos"/>
                <w:b/>
                <w:i w:val="0"/>
                <w:color w:val="FFFFFF"/>
                <w:sz w:val="15"/>
              </w:rPr>
              <w:t>Why did you choose that label?</w:t>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5"/>
              </w:rPr>
              <w:t>Housing</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$550</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5"/>
              </w:rPr>
              <w:t>Transit</w:t>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$140</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5"/>
              </w:rPr>
              <w:t>Phone</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$60</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5"/>
              </w:rPr>
              <w:t>Food</w:t>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$300</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5"/>
              </w:rPr>
              <w:t>Health/personal</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$90</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5"/>
              </w:rPr>
              <w:t>Entertainment</w:t>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$160</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5"/>
              </w:rPr>
              <w:t>Clothing</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$80</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5"/>
              </w:rPr>
              <w:t>Savings</w:t>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$250</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5"/>
              </w:rPr>
              <w:t>Debt</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$70</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5"/>
              </w:rPr>
              <w:t>Money for occasional bills</w:t>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$60</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0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bl>
    <w:p>
      <w:r>
        <w:t>Total uses: ______  Current unassigned amount: 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Apply the Methods</w:t>
      </w:r>
    </w:p>
    <w:tbl>
      <w:tblPr>
        <w:tblStyle w:val="TableGrid"/>
        <w:tblW w:type="dxa" w:w="10160"/>
        <w:jc w:val="center"/>
        <w:tblLayout w:type="fixed"/>
        <w:tblLook w:firstColumn="1" w:firstRow="1" w:lastColumn="0" w:lastRow="0" w:noHBand="0" w:noVBand="1" w:val="04A0"/>
        <w:tblInd w:w="120" w:type="dxa"/>
      </w:tblPr>
      <w:tblGrid>
        <w:gridCol w:w="1800"/>
        <w:gridCol w:w="1900"/>
        <w:gridCol w:w="1900"/>
        <w:gridCol w:w="1900"/>
        <w:gridCol w:w="1400"/>
        <w:gridCol w:w="1260"/>
      </w:tblGrid>
      <w:tr>
        <w:trPr>
          <w:tblHeader w:val="true"/>
        </w:trPr>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Method</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Needs or regular costs</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Wants or flexible costs</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Saving and debt goals</w:t>
            </w:r>
          </w:p>
        </w:tc>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6"/>
              </w:rPr>
              <w:t>Extra money</w:t>
            </w:r>
          </w:p>
        </w:tc>
        <w:tc>
          <w:tcPr>
            <w:tcW w:type="dxa" w:w="1260"/>
            <w:shd w:fill="163A63"/>
            <w:tcMar>
              <w:top w:w="100" w:type="dxa"/>
              <w:start w:w="120" w:type="dxa"/>
              <w:bottom w:w="100" w:type="dxa"/>
              <w:end w:w="120" w:type="dxa"/>
            </w:tcMar>
            <w:vAlign w:val="center"/>
          </w:tcPr>
          <w:p>
            <w:pPr>
              <w:spacing w:after="0"/>
            </w:pPr>
            <w:r>
              <w:rPr>
                <w:rFonts w:ascii="Aptos" w:hAnsi="Aptos"/>
                <w:b/>
                <w:i w:val="0"/>
                <w:color w:val="FFFFFF"/>
                <w:sz w:val="16"/>
              </w:rPr>
              <w:t>Does the total match income?</w:t>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Category plan</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Every-dollar plan</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50/30/20 guide</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60"/>
            <w:tcMar>
              <w:top w:w="100" w:type="dxa"/>
              <w:start w:w="120" w:type="dxa"/>
              <w:bottom w:w="100" w:type="dxa"/>
              <w:end w:w="120" w:type="dxa"/>
            </w:tcMar>
            <w:vAlign w:val="center"/>
          </w:tcPr>
          <w:p>
            <w:pPr>
              <w:spacing w:after="0"/>
            </w:pPr>
            <w:r>
              <w:rPr>
                <w:rFonts w:ascii="Aptos" w:hAnsi="Aptos"/>
                <w:b w:val="0"/>
                <w:i w:val="0"/>
                <w:color w:val="1F2933"/>
                <w:sz w:val="16"/>
              </w:rPr>
            </w:r>
          </w:p>
        </w:tc>
      </w:tr>
    </w:tbl>
    <w:p>
      <w:r>
        <w:t>For 50/30/20, calculate target dollars: 50% ______; 30% ______; 20% ______. Then compare—not force—the current plan to these targets. State how you classified phone, health/personal, debt, and periodic savings.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Fit by User</w:t>
      </w:r>
    </w:p>
    <w:tbl>
      <w:tblPr>
        <w:tblStyle w:val="TableGrid"/>
        <w:tblW w:type="dxa" w:w="9360"/>
        <w:jc w:val="center"/>
        <w:tblLayout w:type="fixed"/>
        <w:tblLook w:firstColumn="1" w:firstRow="1" w:lastColumn="0" w:lastRow="0" w:noHBand="0" w:noVBand="1" w:val="04A0"/>
        <w:tblInd w:w="120" w:type="dxa"/>
      </w:tblPr>
      <w:tblGrid>
        <w:gridCol w:w="1600"/>
        <w:gridCol w:w="1900"/>
        <w:gridCol w:w="2300"/>
        <w:gridCol w:w="1900"/>
        <w:gridCol w:w="1660"/>
      </w:tblGrid>
      <w:tr>
        <w:trPr>
          <w:tblHeader w:val="true"/>
        </w:trPr>
        <w:tc>
          <w:tcPr>
            <w:tcW w:type="dxa" w:w="1600"/>
            <w:shd w:fill="163A63"/>
            <w:tcMar>
              <w:top w:w="100" w:type="dxa"/>
              <w:start w:w="120" w:type="dxa"/>
              <w:bottom w:w="100" w:type="dxa"/>
              <w:end w:w="120" w:type="dxa"/>
            </w:tcMar>
            <w:vAlign w:val="center"/>
          </w:tcPr>
          <w:p>
            <w:pPr>
              <w:spacing w:after="0"/>
            </w:pPr>
            <w:r>
              <w:rPr>
                <w:rFonts w:ascii="Aptos" w:hAnsi="Aptos"/>
                <w:b/>
                <w:i w:val="0"/>
                <w:color w:val="FFFFFF"/>
                <w:sz w:val="16"/>
              </w:rPr>
              <w:t>Person</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Best method to try first</w:t>
            </w:r>
          </w:p>
        </w:tc>
        <w:tc>
          <w:tcPr>
            <w:tcW w:type="dxa" w:w="2300"/>
            <w:shd w:fill="163A63"/>
            <w:tcMar>
              <w:top w:w="100" w:type="dxa"/>
              <w:start w:w="120" w:type="dxa"/>
              <w:bottom w:w="100" w:type="dxa"/>
              <w:end w:w="120" w:type="dxa"/>
            </w:tcMar>
            <w:vAlign w:val="center"/>
          </w:tcPr>
          <w:p>
            <w:pPr>
              <w:spacing w:after="0"/>
            </w:pPr>
            <w:r>
              <w:rPr>
                <w:rFonts w:ascii="Aptos" w:hAnsi="Aptos"/>
                <w:b/>
                <w:i w:val="0"/>
                <w:color w:val="FFFFFF"/>
                <w:sz w:val="16"/>
              </w:rPr>
              <w:t>Reason from the profile</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Possible problem</w:t>
            </w:r>
          </w:p>
        </w:tc>
        <w:tc>
          <w:tcPr>
            <w:tcW w:type="dxa" w:w="1660"/>
            <w:shd w:fill="163A63"/>
            <w:tcMar>
              <w:top w:w="100" w:type="dxa"/>
              <w:start w:w="120" w:type="dxa"/>
              <w:bottom w:w="100" w:type="dxa"/>
              <w:end w:w="120" w:type="dxa"/>
            </w:tcMar>
            <w:vAlign w:val="center"/>
          </w:tcPr>
          <w:p>
            <w:pPr>
              <w:spacing w:after="0"/>
            </w:pPr>
            <w:r>
              <w:rPr>
                <w:rFonts w:ascii="Aptos" w:hAnsi="Aptos"/>
                <w:b/>
                <w:i w:val="0"/>
                <w:color w:val="FFFFFF"/>
                <w:sz w:val="16"/>
              </w:rPr>
              <w:t>Helpful feature to add</w:t>
            </w:r>
          </w:p>
        </w:tc>
      </w:tr>
      <w:tr>
        <w:tc>
          <w:tcPr>
            <w:tcW w:type="dxa" w:w="1600"/>
            <w:tcMar>
              <w:top w:w="100" w:type="dxa"/>
              <w:start w:w="120" w:type="dxa"/>
              <w:bottom w:w="100" w:type="dxa"/>
              <w:end w:w="120" w:type="dxa"/>
            </w:tcMar>
            <w:vAlign w:val="center"/>
          </w:tcPr>
          <w:p>
            <w:pPr>
              <w:spacing w:after="0"/>
            </w:pPr>
            <w:r>
              <w:rPr>
                <w:rFonts w:ascii="Aptos" w:hAnsi="Aptos"/>
                <w:b w:val="0"/>
                <w:i w:val="0"/>
                <w:color w:val="1F2933"/>
                <w:sz w:val="16"/>
              </w:rPr>
              <w:t>Taylor</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Stable monthly pay; wants clear saving target but dislikes daily detail.</w:t>
            </w:r>
          </w:p>
        </w:tc>
        <w:tc>
          <w:tcPr>
            <w:tcW w:type="dxa" w:w="2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t>Rae</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t>Income varies weekly; bills cluster early; needs date-specific controls.</w:t>
            </w:r>
          </w:p>
        </w:tc>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600"/>
            <w:tcMar>
              <w:top w:w="100" w:type="dxa"/>
              <w:start w:w="120" w:type="dxa"/>
              <w:bottom w:w="100" w:type="dxa"/>
              <w:end w:w="120" w:type="dxa"/>
            </w:tcMar>
            <w:vAlign w:val="center"/>
          </w:tcPr>
          <w:p>
            <w:pPr>
              <w:spacing w:after="0"/>
            </w:pPr>
            <w:r>
              <w:rPr>
                <w:rFonts w:ascii="Aptos" w:hAnsi="Aptos"/>
                <w:b w:val="0"/>
                <w:i w:val="0"/>
                <w:color w:val="1F2933"/>
                <w:sz w:val="16"/>
              </w:rPr>
              <w:t>Morgan</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Often spends unassigned money; willing to plan every dollar.</w:t>
            </w:r>
          </w:p>
        </w:tc>
        <w:tc>
          <w:tcPr>
            <w:tcW w:type="dxa" w:w="2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t>Casey</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t>High necessary housing/transport costs; preset percentages do not fit.</w:t>
            </w:r>
          </w:p>
        </w:tc>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why the 50/30/20 guideline may still be useful for Casey even if the 50% target is impossible right now.</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Test a Difficult Month</w:t>
      </w:r>
    </w:p>
    <w:p>
      <w:r>
        <w:t>Taylor’s food rises by $45, a $120 annual fee is due next month, and monthly income falls by $90 for one month.</w:t>
      </w:r>
    </w:p>
    <w:tbl>
      <w:tblPr>
        <w:tblStyle w:val="TableGrid"/>
        <w:tblW w:type="dxa" w:w="9360"/>
        <w:jc w:val="center"/>
        <w:tblLayout w:type="fixed"/>
        <w:tblLook w:firstColumn="1" w:firstRow="1" w:lastColumn="0" w:lastRow="0" w:noHBand="0" w:noVBand="1" w:val="04A0"/>
        <w:tblInd w:w="120" w:type="dxa"/>
      </w:tblPr>
      <w:tblGrid>
        <w:gridCol w:w="1900"/>
        <w:gridCol w:w="1700"/>
        <w:gridCol w:w="1800"/>
        <w:gridCol w:w="1800"/>
        <w:gridCol w:w="1200"/>
        <w:gridCol w:w="960"/>
      </w:tblGrid>
      <w:tr>
        <w:trPr>
          <w:tblHeader w:val="true"/>
        </w:trPr>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Method</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What problem appears first?</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Math you need</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Change you would make</w:t>
            </w:r>
          </w:p>
        </w:tc>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6"/>
              </w:rPr>
              <w:t>Goal you protect</w:t>
            </w:r>
          </w:p>
        </w:tc>
        <w:tc>
          <w:tcPr>
            <w:tcW w:type="dxa" w:w="960"/>
            <w:shd w:fill="163A63"/>
            <w:tcMar>
              <w:top w:w="100" w:type="dxa"/>
              <w:start w:w="120" w:type="dxa"/>
              <w:bottom w:w="100" w:type="dxa"/>
              <w:end w:w="120" w:type="dxa"/>
            </w:tcMar>
            <w:vAlign w:val="center"/>
          </w:tcPr>
          <w:p>
            <w:pPr>
              <w:spacing w:after="0"/>
            </w:pPr>
            <w:r>
              <w:rPr>
                <w:rFonts w:ascii="Aptos" w:hAnsi="Aptos"/>
                <w:b/>
                <w:i w:val="0"/>
                <w:color w:val="FFFFFF"/>
                <w:sz w:val="16"/>
              </w:rPr>
              <w:t>Problem still remaining</w:t>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Category plan</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9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t>Every-dollar plan</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9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50/30/20 guide</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960"/>
            <w:tcMar>
              <w:top w:w="100" w:type="dxa"/>
              <w:start w:w="120" w:type="dxa"/>
              <w:bottom w:w="100" w:type="dxa"/>
              <w:end w:w="120" w:type="dxa"/>
            </w:tcMar>
            <w:vAlign w:val="center"/>
          </w:tcPr>
          <w:p>
            <w:pPr>
              <w:spacing w:after="0"/>
            </w:pPr>
            <w:r>
              <w:rPr>
                <w:rFonts w:ascii="Aptos" w:hAnsi="Aptos"/>
                <w:b w:val="0"/>
                <w:i w:val="0"/>
                <w:color w:val="1F2933"/>
                <w:sz w:val="16"/>
              </w:rPr>
            </w:r>
          </w:p>
        </w:tc>
      </w:tr>
    </w:tbl>
    <w:p>
      <w:r>
        <w:t>Which method makes the annual fee visible earliest? Which method best exposes the $90 income loss? Defend both answers.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Make Your Recommendation</w:t>
      </w:r>
    </w:p>
    <w:tbl>
      <w:tblPr>
        <w:tblStyle w:val="TableGrid"/>
        <w:tblW w:type="dxa" w:w="9360"/>
        <w:jc w:val="center"/>
        <w:tblLayout w:type="fixed"/>
        <w:tblLook w:firstColumn="1" w:firstRow="1" w:lastColumn="0" w:lastRow="0" w:noHBand="0" w:noVBand="1" w:val="04A0"/>
        <w:tblInd w:w="120" w:type="dxa"/>
      </w:tblPr>
      <w:tblGrid>
        <w:gridCol w:w="3600"/>
        <w:gridCol w:w="5760"/>
      </w:tblGrid>
      <w:tr>
        <w:trPr>
          <w:tblHeader w:val="true"/>
        </w:trPr>
        <w:tc>
          <w:tcPr>
            <w:tcW w:type="dxa" w:w="3600"/>
            <w:shd w:fill="163A63"/>
            <w:tcMar>
              <w:top w:w="100" w:type="dxa"/>
              <w:start w:w="120" w:type="dxa"/>
              <w:bottom w:w="100" w:type="dxa"/>
              <w:end w:w="120" w:type="dxa"/>
            </w:tcMar>
            <w:vAlign w:val="center"/>
          </w:tcPr>
          <w:p>
            <w:pPr>
              <w:spacing w:after="0"/>
            </w:pPr>
            <w:r>
              <w:rPr>
                <w:rFonts w:ascii="Aptos" w:hAnsi="Aptos"/>
                <w:b/>
                <w:i w:val="0"/>
                <w:color w:val="FFFFFF"/>
                <w:sz w:val="17"/>
              </w:rPr>
              <w:t>Plan feature</w:t>
            </w:r>
          </w:p>
        </w:tc>
        <w:tc>
          <w:tcPr>
            <w:tcW w:type="dxa" w:w="5760"/>
            <w:shd w:fill="163A63"/>
            <w:tcMar>
              <w:top w:w="100" w:type="dxa"/>
              <w:start w:w="120" w:type="dxa"/>
              <w:bottom w:w="100" w:type="dxa"/>
              <w:end w:w="120" w:type="dxa"/>
            </w:tcMar>
            <w:vAlign w:val="center"/>
          </w:tcPr>
          <w:p>
            <w:pPr>
              <w:spacing w:after="0"/>
            </w:pPr>
            <w:r>
              <w:rPr>
                <w:rFonts w:ascii="Aptos" w:hAnsi="Aptos"/>
                <w:b/>
                <w:i w:val="0"/>
                <w:color w:val="FFFFFF"/>
                <w:sz w:val="17"/>
              </w:rPr>
              <w:t>Rule Taylor will use</w:t>
            </w:r>
          </w:p>
        </w:tc>
      </w:tr>
      <w:tr>
        <w:tc>
          <w:tcPr>
            <w:tcW w:type="dxa" w:w="3600"/>
            <w:tcMar>
              <w:top w:w="100" w:type="dxa"/>
              <w:start w:w="120" w:type="dxa"/>
              <w:bottom w:w="100" w:type="dxa"/>
              <w:end w:w="120" w:type="dxa"/>
            </w:tcMar>
            <w:vAlign w:val="center"/>
          </w:tcPr>
          <w:p>
            <w:pPr>
              <w:spacing w:after="0"/>
            </w:pPr>
            <w:r>
              <w:rPr>
                <w:rFonts w:ascii="Aptos" w:hAnsi="Aptos"/>
                <w:b w:val="0"/>
                <w:i w:val="0"/>
                <w:color w:val="1F2933"/>
                <w:sz w:val="17"/>
              </w:rPr>
              <w:t>Main budgeting method</w:t>
            </w:r>
          </w:p>
        </w:tc>
        <w:tc>
          <w:tcPr>
            <w:tcW w:type="dxa" w:w="57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600"/>
            <w:shd w:fill="F4F6F8"/>
            <w:tcMar>
              <w:top w:w="100" w:type="dxa"/>
              <w:start w:w="120" w:type="dxa"/>
              <w:bottom w:w="100" w:type="dxa"/>
              <w:end w:w="120" w:type="dxa"/>
            </w:tcMar>
            <w:vAlign w:val="center"/>
          </w:tcPr>
          <w:p>
            <w:pPr>
              <w:spacing w:after="0"/>
            </w:pPr>
            <w:r>
              <w:rPr>
                <w:rFonts w:ascii="Aptos" w:hAnsi="Aptos"/>
                <w:b w:val="0"/>
                <w:i w:val="0"/>
                <w:color w:val="1F2933"/>
                <w:sz w:val="17"/>
              </w:rPr>
              <w:t>Payday and bill-due-date check</w:t>
            </w:r>
          </w:p>
        </w:tc>
        <w:tc>
          <w:tcPr>
            <w:tcW w:type="dxa" w:w="57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600"/>
            <w:tcMar>
              <w:top w:w="100" w:type="dxa"/>
              <w:start w:w="120" w:type="dxa"/>
              <w:bottom w:w="100" w:type="dxa"/>
              <w:end w:w="120" w:type="dxa"/>
            </w:tcMar>
            <w:vAlign w:val="center"/>
          </w:tcPr>
          <w:p>
            <w:pPr>
              <w:spacing w:after="0"/>
            </w:pPr>
            <w:r>
              <w:rPr>
                <w:rFonts w:ascii="Aptos" w:hAnsi="Aptos"/>
                <w:b w:val="0"/>
                <w:i w:val="0"/>
                <w:color w:val="1F2933"/>
                <w:sz w:val="17"/>
              </w:rPr>
              <w:t>Money set aside for occasional bills</w:t>
            </w:r>
          </w:p>
        </w:tc>
        <w:tc>
          <w:tcPr>
            <w:tcW w:type="dxa" w:w="57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600"/>
            <w:shd w:fill="F4F6F8"/>
            <w:tcMar>
              <w:top w:w="100" w:type="dxa"/>
              <w:start w:w="120" w:type="dxa"/>
              <w:bottom w:w="100" w:type="dxa"/>
              <w:end w:w="120" w:type="dxa"/>
            </w:tcMar>
            <w:vAlign w:val="center"/>
          </w:tcPr>
          <w:p>
            <w:pPr>
              <w:spacing w:after="0"/>
            </w:pPr>
            <w:r>
              <w:rPr>
                <w:rFonts w:ascii="Aptos" w:hAnsi="Aptos"/>
                <w:b w:val="0"/>
                <w:i w:val="0"/>
                <w:color w:val="1F2933"/>
                <w:sz w:val="17"/>
              </w:rPr>
              <w:t>Saving and debt rule</w:t>
            </w:r>
          </w:p>
        </w:tc>
        <w:tc>
          <w:tcPr>
            <w:tcW w:type="dxa" w:w="57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600"/>
            <w:tcMar>
              <w:top w:w="100" w:type="dxa"/>
              <w:start w:w="120" w:type="dxa"/>
              <w:bottom w:w="100" w:type="dxa"/>
              <w:end w:w="120" w:type="dxa"/>
            </w:tcMar>
            <w:vAlign w:val="center"/>
          </w:tcPr>
          <w:p>
            <w:pPr>
              <w:spacing w:after="0"/>
            </w:pPr>
            <w:r>
              <w:rPr>
                <w:rFonts w:ascii="Aptos" w:hAnsi="Aptos"/>
                <w:b w:val="0"/>
                <w:i w:val="0"/>
                <w:color w:val="1F2933"/>
                <w:sz w:val="17"/>
              </w:rPr>
              <w:t>Weekly flexible-spending check</w:t>
            </w:r>
          </w:p>
        </w:tc>
        <w:tc>
          <w:tcPr>
            <w:tcW w:type="dxa" w:w="57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600"/>
            <w:shd w:fill="F4F6F8"/>
            <w:tcMar>
              <w:top w:w="100" w:type="dxa"/>
              <w:start w:w="120" w:type="dxa"/>
              <w:bottom w:w="100" w:type="dxa"/>
              <w:end w:w="120" w:type="dxa"/>
            </w:tcMar>
            <w:vAlign w:val="center"/>
          </w:tcPr>
          <w:p>
            <w:pPr>
              <w:spacing w:after="0"/>
            </w:pPr>
            <w:r>
              <w:rPr>
                <w:rFonts w:ascii="Aptos" w:hAnsi="Aptos"/>
                <w:b w:val="0"/>
                <w:i w:val="0"/>
                <w:color w:val="1F2933"/>
                <w:sz w:val="17"/>
              </w:rPr>
              <w:t>Minimum cushion</w:t>
            </w:r>
          </w:p>
        </w:tc>
        <w:tc>
          <w:tcPr>
            <w:tcW w:type="dxa" w:w="57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600"/>
            <w:tcMar>
              <w:top w:w="100" w:type="dxa"/>
              <w:start w:w="120" w:type="dxa"/>
              <w:bottom w:w="100" w:type="dxa"/>
              <w:end w:w="120" w:type="dxa"/>
            </w:tcMar>
            <w:vAlign w:val="center"/>
          </w:tcPr>
          <w:p>
            <w:pPr>
              <w:spacing w:after="0"/>
            </w:pPr>
            <w:r>
              <w:rPr>
                <w:rFonts w:ascii="Aptos" w:hAnsi="Aptos"/>
                <w:b w:val="0"/>
                <w:i w:val="0"/>
                <w:color w:val="1F2933"/>
                <w:sz w:val="17"/>
              </w:rPr>
              <w:t>End-of-month review</w:t>
            </w:r>
          </w:p>
        </w:tc>
        <w:tc>
          <w:tcPr>
            <w:tcW w:type="dxa" w:w="57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600"/>
            <w:shd w:fill="F4F6F8"/>
            <w:tcMar>
              <w:top w:w="100" w:type="dxa"/>
              <w:start w:w="120" w:type="dxa"/>
              <w:bottom w:w="100" w:type="dxa"/>
              <w:end w:w="120" w:type="dxa"/>
            </w:tcMar>
            <w:vAlign w:val="center"/>
          </w:tcPr>
          <w:p>
            <w:pPr>
              <w:spacing w:after="0"/>
            </w:pPr>
            <w:r>
              <w:rPr>
                <w:rFonts w:ascii="Aptos" w:hAnsi="Aptos"/>
                <w:b w:val="0"/>
                <w:i w:val="0"/>
                <w:color w:val="1F2933"/>
                <w:sz w:val="17"/>
              </w:rPr>
              <w:t>When to change the plan</w:t>
            </w:r>
          </w:p>
        </w:tc>
        <w:tc>
          <w:tcPr>
            <w:tcW w:type="dxa" w:w="57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bl>
    <w:p>
      <w:r>
        <w:t>Write a 150–200 word recommendation. Include two calculations, two reasons the method fits Taylor, one possible problem, one result from the difficult-month test, and one added feature that solves or reduces the problem.</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